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43"/>
          <w:tab w:val="left" w:pos="1985"/>
          <w:tab w:val="left" w:pos="2127"/>
        </w:tabs>
        <w:spacing w:line="400" w:lineRule="exact"/>
        <w:rPr>
          <w:rFonts w:eastAsia="黑体"/>
          <w:color w:val="000000" w:themeColor="text1"/>
          <w:spacing w:val="22"/>
          <w:sz w:val="24"/>
        </w:rPr>
      </w:pPr>
      <w:r>
        <w:rPr>
          <w:rFonts w:eastAsia="黑体"/>
          <w:color w:val="000000" w:themeColor="text1"/>
          <w:spacing w:val="22"/>
          <w:sz w:val="24"/>
        </w:rPr>
        <w:t>泰州市五届人大</w:t>
      </w:r>
    </w:p>
    <w:p>
      <w:pPr>
        <w:spacing w:line="400" w:lineRule="exact"/>
        <w:rPr>
          <w:rFonts w:eastAsia="黑体"/>
          <w:color w:val="000000" w:themeColor="text1"/>
          <w:spacing w:val="-2"/>
          <w:sz w:val="24"/>
        </w:rPr>
      </w:pPr>
      <w:r>
        <w:rPr>
          <w:rFonts w:hint="eastAsia" w:eastAsia="黑体"/>
          <w:color w:val="000000" w:themeColor="text1"/>
          <w:spacing w:val="-2"/>
          <w:sz w:val="24"/>
        </w:rPr>
        <w:t>五</w:t>
      </w:r>
      <w:r>
        <w:rPr>
          <w:rFonts w:eastAsia="黑体"/>
          <w:color w:val="000000" w:themeColor="text1"/>
          <w:spacing w:val="-2"/>
          <w:sz w:val="24"/>
        </w:rPr>
        <w:t>次会议文件（</w:t>
      </w:r>
      <w:r>
        <w:rPr>
          <w:rFonts w:hint="eastAsia" w:ascii="Times New Roman" w:hAnsi="Times New Roman" w:eastAsia="黑体" w:cs="Times New Roman"/>
          <w:color w:val="000000" w:themeColor="text1"/>
          <w:spacing w:val="-2"/>
          <w:sz w:val="24"/>
        </w:rPr>
        <w:t>11</w:t>
      </w:r>
      <w:r>
        <w:rPr>
          <w:rFonts w:eastAsia="黑体"/>
          <w:color w:val="000000" w:themeColor="text1"/>
          <w:spacing w:val="-2"/>
          <w:sz w:val="24"/>
        </w:rPr>
        <w:t>）</w:t>
      </w:r>
    </w:p>
    <w:p>
      <w:pPr>
        <w:spacing w:line="460" w:lineRule="exact"/>
        <w:jc w:val="center"/>
        <w:rPr>
          <w:rFonts w:ascii="Times New Roman" w:hAnsi="Times New Roman" w:eastAsia="方正小标宋_GBK" w:cs="Times New Roman"/>
          <w:color w:val="000000" w:themeColor="text1"/>
          <w:sz w:val="32"/>
          <w:szCs w:val="32"/>
        </w:rPr>
      </w:pPr>
    </w:p>
    <w:p>
      <w:pPr>
        <w:spacing w:line="460" w:lineRule="exact"/>
        <w:jc w:val="center"/>
        <w:rPr>
          <w:rFonts w:ascii="Times New Roman" w:hAnsi="Times New Roman" w:eastAsia="方正小标宋_GBK" w:cs="Times New Roman"/>
          <w:color w:val="000000" w:themeColor="text1"/>
          <w:sz w:val="32"/>
          <w:szCs w:val="32"/>
        </w:rPr>
      </w:pPr>
    </w:p>
    <w:p>
      <w:pPr>
        <w:spacing w:line="620" w:lineRule="exact"/>
        <w:jc w:val="center"/>
        <w:rPr>
          <w:rFonts w:ascii="方正小标宋_GBK" w:hAnsi="Times New Roman" w:eastAsia="方正小标宋_GBK" w:cs="Times New Roman"/>
          <w:color w:val="000000" w:themeColor="text1"/>
          <w:sz w:val="44"/>
          <w:szCs w:val="44"/>
        </w:rPr>
      </w:pPr>
      <w:r>
        <w:rPr>
          <w:rFonts w:hint="eastAsia" w:ascii="方正小标宋_GBK" w:hAnsi="Times New Roman" w:eastAsia="方正小标宋_GBK" w:cs="Times New Roman"/>
          <w:color w:val="000000" w:themeColor="text1"/>
          <w:sz w:val="44"/>
          <w:szCs w:val="44"/>
        </w:rPr>
        <w:t>关于泰州市</w:t>
      </w:r>
      <w:r>
        <w:rPr>
          <w:rFonts w:hint="eastAsia" w:ascii="Times New Roman" w:hAnsi="Times New Roman" w:eastAsia="方正小标宋_GBK" w:cs="Times New Roman"/>
          <w:color w:val="000000" w:themeColor="text1"/>
          <w:sz w:val="44"/>
          <w:szCs w:val="44"/>
        </w:rPr>
        <w:t>2020</w:t>
      </w:r>
      <w:r>
        <w:rPr>
          <w:rFonts w:hint="eastAsia" w:ascii="方正小标宋_GBK" w:hAnsi="Times New Roman" w:eastAsia="方正小标宋_GBK" w:cs="Times New Roman"/>
          <w:color w:val="000000" w:themeColor="text1"/>
          <w:sz w:val="44"/>
          <w:szCs w:val="44"/>
        </w:rPr>
        <w:t>年国民经济和社会发展</w:t>
      </w:r>
    </w:p>
    <w:p>
      <w:pPr>
        <w:spacing w:line="620" w:lineRule="exact"/>
        <w:jc w:val="center"/>
        <w:rPr>
          <w:rFonts w:ascii="方正小标宋_GBK" w:hAnsi="Times New Roman" w:eastAsia="方正小标宋_GBK" w:cs="Times New Roman"/>
          <w:color w:val="000000" w:themeColor="text1"/>
          <w:sz w:val="44"/>
          <w:szCs w:val="44"/>
        </w:rPr>
      </w:pPr>
      <w:r>
        <w:rPr>
          <w:rFonts w:hint="eastAsia" w:ascii="方正小标宋_GBK" w:hAnsi="Times New Roman" w:eastAsia="方正小标宋_GBK" w:cs="Times New Roman"/>
          <w:color w:val="000000" w:themeColor="text1"/>
          <w:sz w:val="44"/>
          <w:szCs w:val="44"/>
        </w:rPr>
        <w:t>计划执行情况与</w:t>
      </w:r>
      <w:r>
        <w:rPr>
          <w:rFonts w:hint="eastAsia" w:ascii="Times New Roman" w:hAnsi="Times New Roman" w:eastAsia="方正小标宋_GBK" w:cs="Times New Roman"/>
          <w:color w:val="000000" w:themeColor="text1"/>
          <w:sz w:val="44"/>
          <w:szCs w:val="44"/>
        </w:rPr>
        <w:t>2021</w:t>
      </w:r>
      <w:r>
        <w:rPr>
          <w:rFonts w:hint="eastAsia" w:ascii="方正小标宋_GBK" w:hAnsi="Times New Roman" w:eastAsia="方正小标宋_GBK" w:cs="Times New Roman"/>
          <w:color w:val="000000" w:themeColor="text1"/>
          <w:sz w:val="44"/>
          <w:szCs w:val="44"/>
        </w:rPr>
        <w:t>年国民经济</w:t>
      </w:r>
    </w:p>
    <w:p>
      <w:pPr>
        <w:spacing w:line="620" w:lineRule="exact"/>
        <w:jc w:val="center"/>
        <w:rPr>
          <w:rFonts w:ascii="方正小标宋_GBK" w:hAnsi="Times New Roman" w:eastAsia="方正小标宋_GBK" w:cs="Times New Roman"/>
          <w:color w:val="000000" w:themeColor="text1"/>
          <w:sz w:val="44"/>
          <w:szCs w:val="44"/>
        </w:rPr>
      </w:pPr>
      <w:r>
        <w:rPr>
          <w:rFonts w:hint="eastAsia" w:ascii="方正小标宋_GBK" w:hAnsi="Times New Roman" w:eastAsia="方正小标宋_GBK" w:cs="Times New Roman"/>
          <w:color w:val="000000" w:themeColor="text1"/>
          <w:sz w:val="44"/>
          <w:szCs w:val="44"/>
        </w:rPr>
        <w:t>和社会发展计划草案的报告</w:t>
      </w:r>
    </w:p>
    <w:p>
      <w:pPr>
        <w:spacing w:line="550" w:lineRule="exact"/>
        <w:jc w:val="center"/>
        <w:rPr>
          <w:rFonts w:ascii="Times New Roman" w:hAnsi="Times New Roman" w:eastAsia="方正小标宋_GBK" w:cs="Times New Roman"/>
          <w:color w:val="000000" w:themeColor="text1"/>
          <w:sz w:val="44"/>
          <w:szCs w:val="44"/>
        </w:rPr>
      </w:pPr>
    </w:p>
    <w:p>
      <w:pPr>
        <w:spacing w:line="550" w:lineRule="exact"/>
        <w:jc w:val="center"/>
        <w:rPr>
          <w:rFonts w:ascii="楷体_GB2312" w:hAnsi="Times New Roman" w:eastAsia="楷体_GB2312" w:cs="Times New Roman"/>
          <w:snapToGrid w:val="0"/>
          <w:color w:val="000000" w:themeColor="text1"/>
          <w:kern w:val="0"/>
          <w:sz w:val="32"/>
          <w:szCs w:val="32"/>
        </w:rPr>
      </w:pPr>
      <w:r>
        <w:rPr>
          <w:rFonts w:hint="eastAsia" w:ascii="黑体" w:hAnsi="黑体" w:eastAsia="黑体"/>
          <w:color w:val="000000" w:themeColor="text1"/>
          <w:spacing w:val="-4"/>
          <w:sz w:val="32"/>
          <w:szCs w:val="32"/>
        </w:rPr>
        <w:t>—</w:t>
      </w:r>
      <w:r>
        <w:rPr>
          <w:rFonts w:hint="eastAsia" w:ascii="黑体" w:hAnsi="黑体" w:eastAsia="黑体"/>
          <w:color w:val="000000" w:themeColor="text1"/>
          <w:sz w:val="32"/>
          <w:szCs w:val="32"/>
        </w:rPr>
        <w:t>—</w:t>
      </w:r>
      <w:r>
        <w:rPr>
          <w:rFonts w:hint="eastAsia" w:ascii="Times New Roman" w:hAnsi="Times New Roman" w:eastAsia="楷体_GB2312" w:cs="Times New Roman"/>
          <w:snapToGrid w:val="0"/>
          <w:color w:val="000000" w:themeColor="text1"/>
          <w:kern w:val="0"/>
          <w:sz w:val="32"/>
          <w:szCs w:val="32"/>
        </w:rPr>
        <w:t>2021</w:t>
      </w:r>
      <w:r>
        <w:rPr>
          <w:rFonts w:hint="eastAsia" w:ascii="楷体_GB2312" w:eastAsia="楷体_GB2312" w:cs="Times New Roman"/>
          <w:snapToGrid w:val="0"/>
          <w:color w:val="000000" w:themeColor="text1"/>
          <w:kern w:val="0"/>
          <w:sz w:val="32"/>
          <w:szCs w:val="32"/>
        </w:rPr>
        <w:t>年</w:t>
      </w:r>
      <w:r>
        <w:rPr>
          <w:rFonts w:hint="eastAsia" w:ascii="Times New Roman" w:hAnsi="Times New Roman" w:eastAsia="楷体_GB2312" w:cs="Times New Roman"/>
          <w:snapToGrid w:val="0"/>
          <w:color w:val="000000" w:themeColor="text1"/>
          <w:kern w:val="0"/>
          <w:sz w:val="32"/>
          <w:szCs w:val="32"/>
        </w:rPr>
        <w:t>1</w:t>
      </w:r>
      <w:r>
        <w:rPr>
          <w:rFonts w:hint="eastAsia" w:ascii="楷体_GB2312" w:eastAsia="楷体_GB2312" w:cs="Times New Roman"/>
          <w:snapToGrid w:val="0"/>
          <w:color w:val="000000" w:themeColor="text1"/>
          <w:kern w:val="0"/>
          <w:sz w:val="32"/>
          <w:szCs w:val="32"/>
        </w:rPr>
        <w:t>月</w:t>
      </w:r>
      <w:r>
        <w:rPr>
          <w:rFonts w:hint="eastAsia" w:ascii="Times New Roman" w:hAnsi="Times New Roman" w:eastAsia="楷体_GB2312" w:cs="Times New Roman"/>
          <w:snapToGrid w:val="0"/>
          <w:color w:val="000000" w:themeColor="text1"/>
          <w:kern w:val="0"/>
          <w:sz w:val="32"/>
          <w:szCs w:val="32"/>
        </w:rPr>
        <w:t>20</w:t>
      </w:r>
      <w:r>
        <w:rPr>
          <w:rFonts w:hint="eastAsia" w:ascii="楷体_GB2312" w:eastAsia="楷体_GB2312" w:cs="Times New Roman"/>
          <w:snapToGrid w:val="0"/>
          <w:color w:val="000000" w:themeColor="text1"/>
          <w:kern w:val="0"/>
          <w:sz w:val="32"/>
          <w:szCs w:val="32"/>
        </w:rPr>
        <w:t>日在泰州市第五届</w:t>
      </w:r>
    </w:p>
    <w:p>
      <w:pPr>
        <w:adjustRightInd w:val="0"/>
        <w:snapToGrid w:val="0"/>
        <w:spacing w:line="550" w:lineRule="exact"/>
        <w:jc w:val="center"/>
        <w:rPr>
          <w:rFonts w:ascii="楷体_GB2312" w:eastAsia="楷体_GB2312" w:cs="Times New Roman"/>
          <w:snapToGrid w:val="0"/>
          <w:color w:val="000000" w:themeColor="text1"/>
          <w:kern w:val="0"/>
          <w:sz w:val="32"/>
          <w:szCs w:val="32"/>
        </w:rPr>
      </w:pPr>
      <w:r>
        <w:rPr>
          <w:rFonts w:hint="eastAsia" w:ascii="楷体_GB2312" w:eastAsia="楷体_GB2312" w:cs="Times New Roman"/>
          <w:snapToGrid w:val="0"/>
          <w:color w:val="000000" w:themeColor="text1"/>
          <w:kern w:val="0"/>
          <w:sz w:val="32"/>
          <w:szCs w:val="32"/>
        </w:rPr>
        <w:t>人民代表大会第五次会议上</w:t>
      </w:r>
    </w:p>
    <w:p>
      <w:pPr>
        <w:spacing w:line="500" w:lineRule="exact"/>
        <w:jc w:val="center"/>
        <w:rPr>
          <w:rFonts w:ascii="Times New Roman" w:hAnsi="Times New Roman" w:eastAsia="方正小标宋_GBK" w:cs="Times New Roman"/>
          <w:color w:val="000000" w:themeColor="text1"/>
          <w:sz w:val="44"/>
          <w:szCs w:val="44"/>
        </w:rPr>
      </w:pPr>
    </w:p>
    <w:p>
      <w:pPr>
        <w:adjustRightInd w:val="0"/>
        <w:snapToGrid w:val="0"/>
        <w:spacing w:line="570" w:lineRule="exact"/>
        <w:jc w:val="center"/>
        <w:rPr>
          <w:rFonts w:ascii="楷体_GB2312" w:eastAsia="楷体_GB2312" w:cs="Times New Roman"/>
          <w:snapToGrid w:val="0"/>
          <w:color w:val="000000" w:themeColor="text1"/>
          <w:kern w:val="0"/>
          <w:sz w:val="32"/>
          <w:szCs w:val="32"/>
        </w:rPr>
      </w:pPr>
      <w:r>
        <w:rPr>
          <w:rFonts w:hint="eastAsia" w:ascii="楷体_GB2312" w:eastAsia="楷体_GB2312" w:cs="Times New Roman"/>
          <w:snapToGrid w:val="0"/>
          <w:color w:val="000000" w:themeColor="text1"/>
          <w:kern w:val="0"/>
          <w:sz w:val="32"/>
          <w:szCs w:val="32"/>
        </w:rPr>
        <w:t>市发展和改革委员会主任  祝 光</w:t>
      </w:r>
    </w:p>
    <w:p>
      <w:pPr>
        <w:spacing w:line="500" w:lineRule="exact"/>
        <w:jc w:val="center"/>
        <w:rPr>
          <w:rFonts w:ascii="Times New Roman" w:hAnsi="Times New Roman" w:eastAsia="方正小标宋_GBK" w:cs="Times New Roman"/>
          <w:color w:val="000000" w:themeColor="text1"/>
          <w:sz w:val="44"/>
          <w:szCs w:val="44"/>
        </w:rPr>
      </w:pPr>
    </w:p>
    <w:p>
      <w:pPr>
        <w:spacing w:line="550" w:lineRule="exact"/>
        <w:rPr>
          <w:rFonts w:ascii="仿宋_GB2312" w:hAnsi="Times New Roman" w:eastAsia="仿宋_GB2312" w:cs="Times New Roman"/>
          <w:color w:val="000000" w:themeColor="text1"/>
          <w:kern w:val="0"/>
          <w:sz w:val="32"/>
          <w:szCs w:val="32"/>
        </w:rPr>
      </w:pPr>
      <w:r>
        <w:rPr>
          <w:rFonts w:hint="eastAsia" w:ascii="仿宋_GB2312" w:hAnsi="Times New Roman" w:eastAsia="仿宋_GB2312" w:cs="Times New Roman"/>
          <w:color w:val="000000" w:themeColor="text1"/>
          <w:kern w:val="0"/>
          <w:sz w:val="32"/>
          <w:szCs w:val="32"/>
        </w:rPr>
        <w:t>各位代表：</w:t>
      </w:r>
    </w:p>
    <w:p>
      <w:pPr>
        <w:spacing w:line="550" w:lineRule="exact"/>
        <w:ind w:firstLine="660"/>
        <w:rPr>
          <w:rFonts w:ascii="仿宋_GB2312" w:hAnsi="Times New Roman" w:eastAsia="仿宋_GB2312" w:cs="Times New Roman"/>
          <w:color w:val="000000" w:themeColor="text1"/>
          <w:kern w:val="0"/>
          <w:sz w:val="32"/>
          <w:szCs w:val="32"/>
        </w:rPr>
      </w:pPr>
      <w:r>
        <w:rPr>
          <w:rFonts w:hint="eastAsia" w:ascii="仿宋_GB2312" w:hAnsi="Times New Roman" w:eastAsia="仿宋_GB2312" w:cs="Times New Roman"/>
          <w:color w:val="000000" w:themeColor="text1"/>
          <w:kern w:val="0"/>
          <w:sz w:val="32"/>
          <w:szCs w:val="32"/>
        </w:rPr>
        <w:t>受市人民政府委托，我向大会书面报告</w:t>
      </w:r>
      <w:r>
        <w:rPr>
          <w:rFonts w:hint="eastAsia" w:ascii="Times New Roman" w:hAnsi="Times New Roman" w:eastAsia="仿宋_GB2312" w:cs="Times New Roman"/>
          <w:color w:val="000000" w:themeColor="text1"/>
          <w:kern w:val="0"/>
          <w:sz w:val="32"/>
          <w:szCs w:val="32"/>
        </w:rPr>
        <w:t>2020</w:t>
      </w:r>
      <w:r>
        <w:rPr>
          <w:rFonts w:hint="eastAsia" w:ascii="仿宋_GB2312" w:hAnsi="Times New Roman" w:eastAsia="仿宋_GB2312" w:cs="Times New Roman"/>
          <w:color w:val="000000" w:themeColor="text1"/>
          <w:kern w:val="0"/>
          <w:sz w:val="32"/>
          <w:szCs w:val="32"/>
        </w:rPr>
        <w:t>年全市国民经济和社会发展计划执行情况与</w:t>
      </w:r>
      <w:r>
        <w:rPr>
          <w:rFonts w:hint="eastAsia" w:ascii="Times New Roman" w:hAnsi="Times New Roman" w:eastAsia="仿宋_GB2312" w:cs="Times New Roman"/>
          <w:color w:val="000000" w:themeColor="text1"/>
          <w:kern w:val="0"/>
          <w:sz w:val="32"/>
          <w:szCs w:val="32"/>
        </w:rPr>
        <w:t>2021</w:t>
      </w:r>
      <w:r>
        <w:rPr>
          <w:rFonts w:hint="eastAsia" w:ascii="仿宋_GB2312" w:hAnsi="Times New Roman" w:eastAsia="仿宋_GB2312" w:cs="Times New Roman"/>
          <w:color w:val="000000" w:themeColor="text1"/>
          <w:kern w:val="0"/>
          <w:sz w:val="32"/>
          <w:szCs w:val="32"/>
        </w:rPr>
        <w:t>年国民经济和社会发展计划草案，请予审议，并请各位政协委员和其他列席人员提出意见。</w:t>
      </w:r>
    </w:p>
    <w:p>
      <w:pPr>
        <w:spacing w:line="550" w:lineRule="exact"/>
        <w:ind w:firstLine="660"/>
        <w:rPr>
          <w:rFonts w:ascii="黑体" w:hAnsi="黑体" w:eastAsia="黑体" w:cs="Times New Roman"/>
          <w:color w:val="000000" w:themeColor="text1"/>
          <w:sz w:val="32"/>
          <w:szCs w:val="32"/>
        </w:rPr>
      </w:pPr>
      <w:r>
        <w:rPr>
          <w:rFonts w:ascii="黑体" w:hAnsi="黑体" w:eastAsia="黑体" w:cs="Times New Roman"/>
          <w:color w:val="000000" w:themeColor="text1"/>
          <w:sz w:val="32"/>
          <w:szCs w:val="32"/>
        </w:rPr>
        <w:t>一、</w:t>
      </w:r>
      <w:r>
        <w:rPr>
          <w:rFonts w:ascii="Times New Roman" w:hAnsi="Times New Roman" w:eastAsia="黑体" w:cs="Times New Roman"/>
          <w:color w:val="000000" w:themeColor="text1"/>
          <w:sz w:val="32"/>
          <w:szCs w:val="32"/>
        </w:rPr>
        <w:t>20</w:t>
      </w:r>
      <w:r>
        <w:rPr>
          <w:rFonts w:hint="eastAsia" w:ascii="Times New Roman" w:hAnsi="Times New Roman" w:eastAsia="黑体" w:cs="Times New Roman"/>
          <w:color w:val="000000" w:themeColor="text1"/>
          <w:sz w:val="32"/>
          <w:szCs w:val="32"/>
        </w:rPr>
        <w:t>20</w:t>
      </w:r>
      <w:r>
        <w:rPr>
          <w:rFonts w:ascii="黑体" w:hAnsi="黑体" w:eastAsia="黑体" w:cs="Times New Roman"/>
          <w:color w:val="000000" w:themeColor="text1"/>
          <w:sz w:val="32"/>
          <w:szCs w:val="32"/>
        </w:rPr>
        <w:t>年国民经济和社会发展计划执行情况</w:t>
      </w:r>
    </w:p>
    <w:p>
      <w:pPr>
        <w:overflowPunct w:val="0"/>
        <w:spacing w:line="550" w:lineRule="exact"/>
        <w:ind w:firstLine="640" w:firstLineChars="200"/>
        <w:rPr>
          <w:rFonts w:ascii="仿宋_GB2312"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2020</w:t>
      </w:r>
      <w:r>
        <w:rPr>
          <w:rFonts w:hint="eastAsia" w:ascii="仿宋_GB2312" w:hAnsi="Times New Roman" w:eastAsia="仿宋_GB2312" w:cs="Times New Roman"/>
          <w:color w:val="000000" w:themeColor="text1"/>
          <w:sz w:val="32"/>
          <w:szCs w:val="32"/>
        </w:rPr>
        <w:t>年，面对百年不遇的疫情冲击和严峻复杂的宏观环境，全市上下坚持以习近平新时代中国特色社会主义思想为指导，全面贯彻落实中央和省委、省政府决策部署，认真执行市五届人大四次会议审议批准的《政府工作报告》、</w:t>
      </w:r>
      <w:r>
        <w:rPr>
          <w:rFonts w:hint="eastAsia" w:ascii="Times New Roman" w:hAnsi="Times New Roman" w:eastAsia="仿宋_GB2312" w:cs="Times New Roman"/>
          <w:color w:val="000000" w:themeColor="text1"/>
          <w:sz w:val="32"/>
          <w:szCs w:val="32"/>
        </w:rPr>
        <w:t>2020</w:t>
      </w:r>
      <w:r>
        <w:rPr>
          <w:rFonts w:hint="eastAsia" w:ascii="仿宋_GB2312" w:hAnsi="Times New Roman" w:eastAsia="仿宋_GB2312" w:cs="Times New Roman"/>
          <w:color w:val="000000" w:themeColor="text1"/>
          <w:sz w:val="32"/>
          <w:szCs w:val="32"/>
        </w:rPr>
        <w:t>年国民经济和社会发展计划，落实市人大财经委员会审查意见，统筹推进疫情防控和经济社会发展，全面做好“六稳”“六保”工作，“一高两强三突出”</w:t>
      </w:r>
      <w:r>
        <w:rPr>
          <w:rStyle w:val="13"/>
          <w:rFonts w:hint="eastAsia" w:ascii="仿宋_GB2312" w:hAnsi="Times New Roman" w:eastAsia="仿宋_GB2312" w:cs="Times New Roman"/>
          <w:color w:val="000000" w:themeColor="text1"/>
          <w:sz w:val="32"/>
          <w:szCs w:val="32"/>
        </w:rPr>
        <w:footnoteReference w:id="0"/>
      </w:r>
      <w:r>
        <w:rPr>
          <w:rFonts w:hint="eastAsia" w:ascii="仿宋_GB2312" w:hAnsi="Times New Roman" w:eastAsia="仿宋_GB2312" w:cs="Times New Roman"/>
          <w:color w:val="000000" w:themeColor="text1"/>
          <w:sz w:val="32"/>
          <w:szCs w:val="32"/>
        </w:rPr>
        <w:t>扎实推进，疫情防控取得重大战略成果，经济社会发展保持稳中向好态势。年度主要指标中，除地区生产总值和社会消费品零售总额外，其他顺利完成全年目标（见表</w:t>
      </w:r>
      <w:r>
        <w:rPr>
          <w:rFonts w:hint="eastAsia" w:ascii="Times New Roman" w:hAnsi="Times New Roman" w:eastAsia="仿宋_GB2312" w:cs="Times New Roman"/>
          <w:color w:val="000000" w:themeColor="text1"/>
          <w:sz w:val="32"/>
          <w:szCs w:val="32"/>
        </w:rPr>
        <w:t>1</w:t>
      </w:r>
      <w:r>
        <w:rPr>
          <w:rFonts w:hint="eastAsia" w:ascii="仿宋_GB2312" w:hAnsi="Times New Roman" w:eastAsia="仿宋_GB2312" w:cs="Times New Roman"/>
          <w:color w:val="000000" w:themeColor="text1"/>
          <w:sz w:val="32"/>
          <w:szCs w:val="32"/>
        </w:rPr>
        <w:t>）。</w:t>
      </w:r>
    </w:p>
    <w:p>
      <w:pPr>
        <w:overflowPunct w:val="0"/>
        <w:spacing w:afterLines="50" w:line="600" w:lineRule="exact"/>
        <w:jc w:val="center"/>
        <w:rPr>
          <w:rFonts w:ascii="黑体" w:hAnsi="黑体" w:eastAsia="黑体" w:cs="Times New Roman"/>
          <w:color w:val="000000" w:themeColor="text1"/>
          <w:sz w:val="30"/>
          <w:szCs w:val="30"/>
        </w:rPr>
      </w:pPr>
      <w:r>
        <w:rPr>
          <w:rFonts w:hint="eastAsia" w:ascii="黑体" w:hAnsi="黑体" w:eastAsia="黑体" w:cs="Times New Roman"/>
          <w:color w:val="000000" w:themeColor="text1"/>
          <w:sz w:val="30"/>
          <w:szCs w:val="30"/>
        </w:rPr>
        <w:t>表</w:t>
      </w:r>
      <w:r>
        <w:rPr>
          <w:rFonts w:hint="eastAsia" w:ascii="Times New Roman" w:hAnsi="Times New Roman" w:eastAsia="黑体" w:cs="Times New Roman"/>
          <w:color w:val="000000" w:themeColor="text1"/>
          <w:sz w:val="30"/>
          <w:szCs w:val="30"/>
        </w:rPr>
        <w:t>1</w:t>
      </w:r>
      <w:r>
        <w:rPr>
          <w:rFonts w:hint="eastAsia" w:ascii="黑体" w:hAnsi="黑体" w:eastAsia="黑体" w:cs="Times New Roman"/>
          <w:color w:val="000000" w:themeColor="text1"/>
          <w:sz w:val="30"/>
          <w:szCs w:val="30"/>
        </w:rPr>
        <w:t xml:space="preserve">  </w:t>
      </w:r>
      <w:r>
        <w:rPr>
          <w:rFonts w:hint="eastAsia" w:ascii="Times New Roman" w:hAnsi="Times New Roman" w:eastAsia="黑体" w:cs="Times New Roman"/>
          <w:color w:val="000000" w:themeColor="text1"/>
          <w:sz w:val="30"/>
          <w:szCs w:val="30"/>
        </w:rPr>
        <w:t>2020</w:t>
      </w:r>
      <w:r>
        <w:rPr>
          <w:rFonts w:hint="eastAsia" w:ascii="黑体" w:hAnsi="黑体" w:eastAsia="黑体" w:cs="Times New Roman"/>
          <w:color w:val="000000" w:themeColor="text1"/>
          <w:sz w:val="30"/>
          <w:szCs w:val="30"/>
        </w:rPr>
        <w:t>年全市主要指标计划预计完成情况</w:t>
      </w:r>
    </w:p>
    <w:tbl>
      <w:tblPr>
        <w:tblStyle w:val="8"/>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3434"/>
        <w:gridCol w:w="2277"/>
        <w:gridCol w:w="227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13" w:type="pct"/>
            <w:tcMar>
              <w:left w:w="28" w:type="dxa"/>
              <w:right w:w="28" w:type="dxa"/>
            </w:tcMar>
            <w:vAlign w:val="center"/>
          </w:tcPr>
          <w:p>
            <w:pPr>
              <w:overflowPunct w:val="0"/>
              <w:spacing w:line="320" w:lineRule="exact"/>
              <w:jc w:val="center"/>
              <w:rPr>
                <w:rFonts w:ascii="黑体" w:hAnsi="宋体" w:eastAsia="黑体" w:cs="Times New Roman"/>
                <w:color w:val="000000" w:themeColor="text1"/>
                <w:kern w:val="0"/>
                <w:szCs w:val="21"/>
              </w:rPr>
            </w:pPr>
            <w:r>
              <w:rPr>
                <w:rFonts w:hint="eastAsia" w:ascii="黑体" w:hAnsi="宋体" w:eastAsia="黑体" w:cs="Times New Roman"/>
                <w:color w:val="000000" w:themeColor="text1"/>
                <w:kern w:val="0"/>
                <w:szCs w:val="21"/>
              </w:rPr>
              <w:t>序号</w:t>
            </w:r>
          </w:p>
        </w:tc>
        <w:tc>
          <w:tcPr>
            <w:tcW w:w="1929" w:type="pct"/>
            <w:tcMar>
              <w:left w:w="28" w:type="dxa"/>
              <w:right w:w="28" w:type="dxa"/>
            </w:tcMar>
            <w:vAlign w:val="center"/>
          </w:tcPr>
          <w:p>
            <w:pPr>
              <w:overflowPunct w:val="0"/>
              <w:spacing w:line="320" w:lineRule="exact"/>
              <w:jc w:val="center"/>
              <w:rPr>
                <w:rFonts w:ascii="黑体" w:hAnsi="宋体" w:eastAsia="黑体" w:cs="Times New Roman"/>
                <w:color w:val="000000" w:themeColor="text1"/>
                <w:kern w:val="0"/>
                <w:szCs w:val="21"/>
              </w:rPr>
            </w:pPr>
            <w:r>
              <w:rPr>
                <w:rFonts w:hint="eastAsia" w:ascii="黑体" w:hAnsi="宋体" w:eastAsia="黑体" w:cs="Times New Roman"/>
                <w:color w:val="000000" w:themeColor="text1"/>
                <w:kern w:val="0"/>
                <w:szCs w:val="21"/>
              </w:rPr>
              <w:t>指标名称</w:t>
            </w:r>
          </w:p>
        </w:tc>
        <w:tc>
          <w:tcPr>
            <w:tcW w:w="1279" w:type="pct"/>
            <w:tcMar>
              <w:left w:w="28" w:type="dxa"/>
              <w:right w:w="28" w:type="dxa"/>
            </w:tcMar>
            <w:vAlign w:val="center"/>
          </w:tcPr>
          <w:p>
            <w:pPr>
              <w:overflowPunct w:val="0"/>
              <w:spacing w:line="320" w:lineRule="exact"/>
              <w:jc w:val="center"/>
              <w:rPr>
                <w:rFonts w:ascii="黑体" w:hAnsi="宋体" w:eastAsia="黑体" w:cs="Times New Roman"/>
                <w:color w:val="000000" w:themeColor="text1"/>
                <w:kern w:val="0"/>
                <w:szCs w:val="21"/>
              </w:rPr>
            </w:pPr>
            <w:r>
              <w:rPr>
                <w:rFonts w:hint="eastAsia" w:ascii="黑体" w:hAnsi="宋体" w:eastAsia="黑体" w:cs="Times New Roman"/>
                <w:color w:val="000000" w:themeColor="text1"/>
                <w:kern w:val="0"/>
                <w:szCs w:val="21"/>
              </w:rPr>
              <w:t>年度目标</w:t>
            </w:r>
          </w:p>
        </w:tc>
        <w:tc>
          <w:tcPr>
            <w:tcW w:w="1280" w:type="pct"/>
            <w:tcMar>
              <w:left w:w="28" w:type="dxa"/>
              <w:right w:w="28" w:type="dxa"/>
            </w:tcMar>
            <w:vAlign w:val="center"/>
          </w:tcPr>
          <w:p>
            <w:pPr>
              <w:overflowPunct w:val="0"/>
              <w:spacing w:line="320" w:lineRule="exact"/>
              <w:jc w:val="center"/>
              <w:rPr>
                <w:rFonts w:ascii="黑体" w:hAnsi="宋体" w:eastAsia="黑体" w:cs="Times New Roman"/>
                <w:color w:val="000000" w:themeColor="text1"/>
                <w:kern w:val="0"/>
                <w:szCs w:val="21"/>
              </w:rPr>
            </w:pPr>
            <w:r>
              <w:rPr>
                <w:rFonts w:hint="eastAsia" w:ascii="黑体" w:hAnsi="宋体" w:eastAsia="黑体" w:cs="Times New Roman"/>
                <w:color w:val="000000" w:themeColor="text1"/>
                <w:kern w:val="0"/>
                <w:szCs w:val="21"/>
              </w:rPr>
              <w:t>预计完成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13" w:type="pct"/>
            <w:vAlign w:val="center"/>
          </w:tcPr>
          <w:p>
            <w:pPr>
              <w:overflowPunct w:val="0"/>
              <w:spacing w:line="320" w:lineRule="exact"/>
              <w:jc w:val="center"/>
              <w:rPr>
                <w:rFonts w:ascii="仿宋_GB2312" w:hAnsi="宋体"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1</w:t>
            </w:r>
          </w:p>
        </w:tc>
        <w:tc>
          <w:tcPr>
            <w:tcW w:w="1929" w:type="pct"/>
            <w:vAlign w:val="center"/>
          </w:tcPr>
          <w:p>
            <w:pPr>
              <w:overflowPunct w:val="0"/>
              <w:spacing w:line="320" w:lineRule="exact"/>
              <w:rPr>
                <w:rFonts w:ascii="仿宋_GB2312" w:hAnsi="宋体" w:eastAsia="仿宋_GB2312" w:cs="Times New Roman"/>
                <w:color w:val="000000" w:themeColor="text1"/>
                <w:kern w:val="0"/>
                <w:szCs w:val="21"/>
              </w:rPr>
            </w:pPr>
            <w:r>
              <w:rPr>
                <w:rFonts w:hint="eastAsia" w:ascii="仿宋_GB2312" w:hAnsi="宋体" w:eastAsia="仿宋_GB2312" w:cs="Times New Roman"/>
                <w:color w:val="000000" w:themeColor="text1"/>
                <w:kern w:val="0"/>
                <w:szCs w:val="21"/>
              </w:rPr>
              <w:t>地区生产总值</w:t>
            </w:r>
          </w:p>
        </w:tc>
        <w:tc>
          <w:tcPr>
            <w:tcW w:w="1279" w:type="pct"/>
            <w:vAlign w:val="center"/>
          </w:tcPr>
          <w:p>
            <w:pPr>
              <w:overflowPunct w:val="0"/>
              <w:spacing w:line="320" w:lineRule="exact"/>
              <w:jc w:val="center"/>
              <w:rPr>
                <w:rFonts w:ascii="仿宋_GB2312" w:hAnsi="宋体"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6</w:t>
            </w:r>
            <w:r>
              <w:rPr>
                <w:rFonts w:hint="eastAsia" w:ascii="仿宋_GB2312" w:hAnsi="宋体" w:eastAsia="仿宋_GB2312" w:cs="Times New Roman"/>
                <w:color w:val="000000" w:themeColor="text1"/>
                <w:kern w:val="0"/>
                <w:szCs w:val="21"/>
              </w:rPr>
              <w:t>.</w:t>
            </w:r>
            <w:r>
              <w:rPr>
                <w:rFonts w:hint="eastAsia" w:ascii="Times New Roman" w:hAnsi="Times New Roman" w:eastAsia="仿宋_GB2312" w:cs="Times New Roman"/>
                <w:color w:val="000000" w:themeColor="text1"/>
                <w:kern w:val="0"/>
                <w:szCs w:val="21"/>
              </w:rPr>
              <w:t>5%</w:t>
            </w:r>
            <w:r>
              <w:rPr>
                <w:rFonts w:hint="eastAsia" w:ascii="仿宋_GB2312" w:hAnsi="宋体" w:eastAsia="仿宋_GB2312" w:cs="Times New Roman"/>
                <w:color w:val="000000" w:themeColor="text1"/>
                <w:kern w:val="0"/>
                <w:szCs w:val="21"/>
              </w:rPr>
              <w:t>左右</w:t>
            </w:r>
          </w:p>
        </w:tc>
        <w:tc>
          <w:tcPr>
            <w:tcW w:w="1280" w:type="pct"/>
            <w:vAlign w:val="center"/>
          </w:tcPr>
          <w:p>
            <w:pPr>
              <w:overflowPunct w:val="0"/>
              <w:spacing w:line="320" w:lineRule="exact"/>
              <w:jc w:val="center"/>
              <w:rPr>
                <w:rFonts w:ascii="仿宋_GB2312" w:hAnsi="宋体"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3</w:t>
            </w:r>
            <w:r>
              <w:rPr>
                <w:rFonts w:ascii="仿宋_GB2312" w:hAnsi="宋体" w:eastAsia="仿宋_GB2312" w:cs="Times New Roman"/>
                <w:color w:val="000000" w:themeColor="text1"/>
                <w:kern w:val="0"/>
                <w:szCs w:val="21"/>
              </w:rPr>
              <w:t>.</w:t>
            </w:r>
            <w:r>
              <w:rPr>
                <w:rFonts w:hint="eastAsia" w:ascii="Times New Roman" w:hAnsi="Times New Roman" w:eastAsia="仿宋_GB2312" w:cs="Times New Roman"/>
                <w:color w:val="000000" w:themeColor="text1"/>
                <w:kern w:val="0"/>
                <w:szCs w:val="21"/>
                <w:lang w:val="en-US" w:eastAsia="zh-CN"/>
              </w:rPr>
              <w:t>6</w:t>
            </w:r>
            <w:r>
              <w:rPr>
                <w:rFonts w:hint="eastAsia" w:ascii="Times New Roman" w:hAnsi="Times New Roman" w:eastAsia="仿宋_GB2312" w:cs="Times New Roman"/>
                <w:color w:val="000000" w:themeColor="text1"/>
                <w:kern w:val="0"/>
                <w:szCs w:val="21"/>
              </w:rPr>
              <w:t>%</w:t>
            </w:r>
            <w:r>
              <w:rPr>
                <w:rFonts w:ascii="仿宋_GB2312" w:hAnsi="宋体" w:eastAsia="仿宋_GB2312" w:cs="Times New Roman"/>
                <w:color w:val="000000" w:themeColor="text1"/>
                <w:kern w:val="0"/>
                <w:szCs w:val="21"/>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13" w:type="pct"/>
            <w:vAlign w:val="center"/>
          </w:tcPr>
          <w:p>
            <w:pPr>
              <w:overflowPunct w:val="0"/>
              <w:spacing w:line="320" w:lineRule="exact"/>
              <w:jc w:val="center"/>
              <w:rPr>
                <w:rFonts w:ascii="仿宋_GB2312" w:hAnsi="宋体"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2</w:t>
            </w:r>
          </w:p>
        </w:tc>
        <w:tc>
          <w:tcPr>
            <w:tcW w:w="1929" w:type="pct"/>
            <w:vAlign w:val="center"/>
          </w:tcPr>
          <w:p>
            <w:pPr>
              <w:overflowPunct w:val="0"/>
              <w:spacing w:line="320" w:lineRule="exact"/>
              <w:rPr>
                <w:rFonts w:ascii="仿宋_GB2312" w:hAnsi="宋体" w:eastAsia="仿宋_GB2312" w:cs="Times New Roman"/>
                <w:color w:val="000000" w:themeColor="text1"/>
                <w:kern w:val="0"/>
                <w:szCs w:val="21"/>
              </w:rPr>
            </w:pPr>
            <w:r>
              <w:rPr>
                <w:rFonts w:hint="eastAsia" w:ascii="仿宋_GB2312" w:hAnsi="宋体" w:eastAsia="仿宋_GB2312" w:cs="Times New Roman"/>
                <w:color w:val="000000" w:themeColor="text1"/>
                <w:kern w:val="0"/>
                <w:szCs w:val="21"/>
              </w:rPr>
              <w:t>一般公共预算收入</w:t>
            </w:r>
          </w:p>
        </w:tc>
        <w:tc>
          <w:tcPr>
            <w:tcW w:w="1279" w:type="pct"/>
            <w:vAlign w:val="center"/>
          </w:tcPr>
          <w:p>
            <w:pPr>
              <w:overflowPunct w:val="0"/>
              <w:spacing w:line="320" w:lineRule="exact"/>
              <w:jc w:val="center"/>
              <w:rPr>
                <w:rFonts w:ascii="仿宋_GB2312" w:hAnsi="宋体"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2</w:t>
            </w:r>
            <w:r>
              <w:rPr>
                <w:rFonts w:hint="eastAsia" w:ascii="仿宋_GB2312" w:hAnsi="宋体" w:eastAsia="仿宋_GB2312" w:cs="Times New Roman"/>
                <w:color w:val="000000" w:themeColor="text1"/>
                <w:kern w:val="0"/>
                <w:szCs w:val="21"/>
              </w:rPr>
              <w:t>.</w:t>
            </w:r>
            <w:r>
              <w:rPr>
                <w:rFonts w:hint="eastAsia" w:ascii="Times New Roman" w:hAnsi="Times New Roman" w:eastAsia="仿宋_GB2312" w:cs="Times New Roman"/>
                <w:color w:val="000000" w:themeColor="text1"/>
                <w:kern w:val="0"/>
                <w:szCs w:val="21"/>
              </w:rPr>
              <w:t>5%</w:t>
            </w:r>
            <w:r>
              <w:rPr>
                <w:rFonts w:hint="eastAsia" w:ascii="仿宋_GB2312" w:hAnsi="宋体" w:eastAsia="仿宋_GB2312" w:cs="Times New Roman"/>
                <w:color w:val="000000" w:themeColor="text1"/>
                <w:kern w:val="0"/>
                <w:szCs w:val="21"/>
              </w:rPr>
              <w:t>左右</w:t>
            </w:r>
          </w:p>
        </w:tc>
        <w:tc>
          <w:tcPr>
            <w:tcW w:w="1280" w:type="pct"/>
            <w:vAlign w:val="center"/>
          </w:tcPr>
          <w:p>
            <w:pPr>
              <w:overflowPunct w:val="0"/>
              <w:spacing w:line="320" w:lineRule="exact"/>
              <w:jc w:val="center"/>
              <w:rPr>
                <w:rFonts w:ascii="仿宋_GB2312" w:hAnsi="宋体"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2</w:t>
            </w:r>
            <w:r>
              <w:rPr>
                <w:rFonts w:ascii="仿宋_GB2312" w:hAnsi="宋体" w:eastAsia="仿宋_GB2312" w:cs="Times New Roman"/>
                <w:color w:val="000000" w:themeColor="text1"/>
                <w:kern w:val="0"/>
                <w:szCs w:val="21"/>
              </w:rPr>
              <w:t>.</w:t>
            </w:r>
            <w:r>
              <w:rPr>
                <w:rFonts w:hint="eastAsia" w:ascii="Times New Roman" w:hAnsi="Times New Roman" w:eastAsia="仿宋_GB2312" w:cs="Times New Roman"/>
                <w:color w:val="000000" w:themeColor="text1"/>
                <w:kern w:val="0"/>
                <w:szCs w:val="21"/>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13" w:type="pct"/>
            <w:vAlign w:val="center"/>
          </w:tcPr>
          <w:p>
            <w:pPr>
              <w:overflowPunct w:val="0"/>
              <w:spacing w:line="320" w:lineRule="exact"/>
              <w:jc w:val="center"/>
              <w:rPr>
                <w:rFonts w:ascii="仿宋_GB2312" w:hAnsi="宋体"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3</w:t>
            </w:r>
          </w:p>
        </w:tc>
        <w:tc>
          <w:tcPr>
            <w:tcW w:w="1929" w:type="pct"/>
            <w:vAlign w:val="center"/>
          </w:tcPr>
          <w:p>
            <w:pPr>
              <w:overflowPunct w:val="0"/>
              <w:spacing w:line="320" w:lineRule="exact"/>
              <w:rPr>
                <w:rFonts w:ascii="仿宋_GB2312" w:hAnsi="宋体" w:eastAsia="仿宋_GB2312" w:cs="Times New Roman"/>
                <w:color w:val="000000" w:themeColor="text1"/>
                <w:kern w:val="0"/>
                <w:szCs w:val="21"/>
              </w:rPr>
            </w:pPr>
            <w:r>
              <w:rPr>
                <w:rFonts w:hint="eastAsia" w:ascii="仿宋_GB2312" w:hAnsi="宋体" w:eastAsia="仿宋_GB2312" w:cs="Times New Roman"/>
                <w:color w:val="000000" w:themeColor="text1"/>
                <w:kern w:val="0"/>
                <w:szCs w:val="21"/>
              </w:rPr>
              <w:t>社会消费品零售总额</w:t>
            </w:r>
          </w:p>
        </w:tc>
        <w:tc>
          <w:tcPr>
            <w:tcW w:w="1279" w:type="pct"/>
            <w:vAlign w:val="center"/>
          </w:tcPr>
          <w:p>
            <w:pPr>
              <w:overflowPunct w:val="0"/>
              <w:spacing w:line="320" w:lineRule="exact"/>
              <w:jc w:val="center"/>
              <w:rPr>
                <w:rFonts w:ascii="仿宋_GB2312" w:hAnsi="宋体"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7%</w:t>
            </w:r>
            <w:r>
              <w:rPr>
                <w:rFonts w:hint="eastAsia" w:ascii="仿宋_GB2312" w:hAnsi="宋体" w:eastAsia="仿宋_GB2312" w:cs="Times New Roman"/>
                <w:color w:val="000000" w:themeColor="text1"/>
                <w:kern w:val="0"/>
                <w:szCs w:val="21"/>
              </w:rPr>
              <w:t>左右</w:t>
            </w:r>
          </w:p>
        </w:tc>
        <w:tc>
          <w:tcPr>
            <w:tcW w:w="1280" w:type="pct"/>
            <w:vAlign w:val="center"/>
          </w:tcPr>
          <w:p>
            <w:pPr>
              <w:overflowPunct w:val="0"/>
              <w:spacing w:line="320" w:lineRule="exact"/>
              <w:jc w:val="center"/>
              <w:rPr>
                <w:rFonts w:ascii="仿宋_GB2312" w:hAnsi="宋体" w:eastAsia="仿宋_GB2312" w:cs="Times New Roman"/>
                <w:color w:val="000000" w:themeColor="text1"/>
                <w:kern w:val="0"/>
                <w:szCs w:val="21"/>
              </w:rPr>
            </w:pPr>
            <w:r>
              <w:rPr>
                <w:rFonts w:hint="eastAsia" w:ascii="仿宋_GB2312" w:hAnsi="宋体" w:eastAsia="仿宋_GB2312" w:cs="Times New Roman"/>
                <w:color w:val="000000" w:themeColor="text1"/>
                <w:kern w:val="0"/>
                <w:szCs w:val="21"/>
              </w:rPr>
              <w:t>正增长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13" w:type="pct"/>
            <w:vAlign w:val="center"/>
          </w:tcPr>
          <w:p>
            <w:pPr>
              <w:overflowPunct w:val="0"/>
              <w:spacing w:line="320" w:lineRule="exact"/>
              <w:jc w:val="center"/>
              <w:rPr>
                <w:rFonts w:ascii="仿宋_GB2312" w:hAnsi="宋体"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4</w:t>
            </w:r>
          </w:p>
        </w:tc>
        <w:tc>
          <w:tcPr>
            <w:tcW w:w="1929" w:type="pct"/>
            <w:vAlign w:val="center"/>
          </w:tcPr>
          <w:p>
            <w:pPr>
              <w:overflowPunct w:val="0"/>
              <w:spacing w:line="320" w:lineRule="exact"/>
              <w:rPr>
                <w:rFonts w:ascii="仿宋_GB2312" w:hAnsi="宋体" w:eastAsia="仿宋_GB2312" w:cs="Times New Roman"/>
                <w:color w:val="000000" w:themeColor="text1"/>
                <w:kern w:val="0"/>
                <w:szCs w:val="21"/>
              </w:rPr>
            </w:pPr>
            <w:r>
              <w:rPr>
                <w:rFonts w:hint="eastAsia" w:ascii="仿宋_GB2312" w:hAnsi="宋体" w:eastAsia="仿宋_GB2312" w:cs="Times New Roman"/>
                <w:color w:val="000000" w:themeColor="text1"/>
                <w:kern w:val="0"/>
                <w:szCs w:val="21"/>
              </w:rPr>
              <w:t>进出口总额</w:t>
            </w:r>
          </w:p>
        </w:tc>
        <w:tc>
          <w:tcPr>
            <w:tcW w:w="1279" w:type="pct"/>
            <w:vAlign w:val="center"/>
          </w:tcPr>
          <w:p>
            <w:pPr>
              <w:overflowPunct w:val="0"/>
              <w:spacing w:line="320" w:lineRule="exact"/>
              <w:jc w:val="center"/>
              <w:rPr>
                <w:rFonts w:ascii="仿宋_GB2312" w:hAnsi="宋体" w:eastAsia="仿宋_GB2312" w:cs="Times New Roman"/>
                <w:color w:val="000000" w:themeColor="text1"/>
                <w:kern w:val="0"/>
                <w:szCs w:val="21"/>
              </w:rPr>
            </w:pPr>
            <w:r>
              <w:rPr>
                <w:rFonts w:hint="eastAsia" w:ascii="仿宋_GB2312" w:hAnsi="宋体" w:eastAsia="仿宋_GB2312" w:cs="Times New Roman"/>
                <w:color w:val="000000" w:themeColor="text1"/>
                <w:kern w:val="0"/>
                <w:szCs w:val="21"/>
              </w:rPr>
              <w:t>稳中提质</w:t>
            </w:r>
          </w:p>
        </w:tc>
        <w:tc>
          <w:tcPr>
            <w:tcW w:w="1280" w:type="pct"/>
            <w:vAlign w:val="center"/>
          </w:tcPr>
          <w:p>
            <w:pPr>
              <w:overflowPunct w:val="0"/>
              <w:spacing w:line="320" w:lineRule="exact"/>
              <w:jc w:val="center"/>
              <w:rPr>
                <w:rFonts w:ascii="仿宋_GB2312" w:hAnsi="宋体"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144</w:t>
            </w:r>
            <w:r>
              <w:rPr>
                <w:rFonts w:hint="eastAsia" w:ascii="仿宋_GB2312" w:hAnsi="宋体" w:eastAsia="仿宋_GB2312" w:cs="Times New Roman"/>
                <w:color w:val="000000" w:themeColor="text1"/>
                <w:kern w:val="0"/>
                <w:szCs w:val="21"/>
              </w:rPr>
              <w:t>亿美元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13" w:type="pct"/>
            <w:vAlign w:val="center"/>
          </w:tcPr>
          <w:p>
            <w:pPr>
              <w:overflowPunct w:val="0"/>
              <w:spacing w:line="320" w:lineRule="exact"/>
              <w:jc w:val="center"/>
              <w:rPr>
                <w:rFonts w:ascii="仿宋_GB2312" w:hAnsi="宋体"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5</w:t>
            </w:r>
          </w:p>
        </w:tc>
        <w:tc>
          <w:tcPr>
            <w:tcW w:w="1929" w:type="pct"/>
            <w:vAlign w:val="center"/>
          </w:tcPr>
          <w:p>
            <w:pPr>
              <w:overflowPunct w:val="0"/>
              <w:spacing w:line="320" w:lineRule="exact"/>
              <w:rPr>
                <w:rFonts w:ascii="仿宋_GB2312" w:hAnsi="宋体" w:eastAsia="仿宋_GB2312" w:cs="Times New Roman"/>
                <w:color w:val="000000" w:themeColor="text1"/>
                <w:kern w:val="0"/>
                <w:szCs w:val="21"/>
              </w:rPr>
            </w:pPr>
            <w:r>
              <w:rPr>
                <w:rFonts w:hint="eastAsia" w:ascii="仿宋_GB2312" w:hAnsi="宋体" w:eastAsia="仿宋_GB2312" w:cs="Times New Roman"/>
                <w:color w:val="000000" w:themeColor="text1"/>
                <w:kern w:val="0"/>
                <w:szCs w:val="21"/>
              </w:rPr>
              <w:t>城乡居民收入</w:t>
            </w:r>
          </w:p>
        </w:tc>
        <w:tc>
          <w:tcPr>
            <w:tcW w:w="1279" w:type="pct"/>
            <w:vAlign w:val="center"/>
          </w:tcPr>
          <w:p>
            <w:pPr>
              <w:overflowPunct w:val="0"/>
              <w:spacing w:line="320" w:lineRule="exact"/>
              <w:jc w:val="center"/>
              <w:rPr>
                <w:rFonts w:ascii="仿宋_GB2312" w:hAnsi="宋体" w:eastAsia="仿宋_GB2312" w:cs="Times New Roman"/>
                <w:color w:val="000000" w:themeColor="text1"/>
                <w:kern w:val="0"/>
                <w:szCs w:val="21"/>
              </w:rPr>
            </w:pPr>
            <w:r>
              <w:rPr>
                <w:rFonts w:hint="eastAsia" w:ascii="仿宋_GB2312" w:hAnsi="宋体" w:eastAsia="仿宋_GB2312" w:cs="Times New Roman"/>
                <w:color w:val="000000" w:themeColor="text1"/>
                <w:kern w:val="0"/>
                <w:szCs w:val="21"/>
              </w:rPr>
              <w:t>与经济同步增长</w:t>
            </w:r>
          </w:p>
        </w:tc>
        <w:tc>
          <w:tcPr>
            <w:tcW w:w="1280" w:type="pct"/>
            <w:vAlign w:val="center"/>
          </w:tcPr>
          <w:p>
            <w:pPr>
              <w:overflowPunct w:val="0"/>
              <w:spacing w:line="320" w:lineRule="exact"/>
              <w:jc w:val="center"/>
              <w:rPr>
                <w:rFonts w:hint="default" w:ascii="仿宋_GB2312" w:hAnsi="宋体" w:eastAsia="仿宋_GB2312" w:cs="Times New Roman"/>
                <w:color w:val="000000" w:themeColor="text1"/>
                <w:kern w:val="0"/>
                <w:szCs w:val="21"/>
                <w:lang w:val="en-US" w:eastAsia="zh-CN"/>
              </w:rPr>
            </w:pPr>
            <w:r>
              <w:rPr>
                <w:rFonts w:hint="eastAsia" w:ascii="Times New Roman" w:hAnsi="Times New Roman" w:eastAsia="仿宋_GB2312" w:cs="Times New Roman"/>
                <w:color w:val="000000" w:themeColor="text1"/>
                <w:kern w:val="0"/>
                <w:szCs w:val="21"/>
                <w:lang w:val="en-US" w:eastAsia="zh-CN"/>
              </w:rPr>
              <w:t>5</w:t>
            </w:r>
            <w:r>
              <w:rPr>
                <w:rFonts w:hint="eastAsia" w:ascii="Times New Roman" w:hAnsi="Times New Roman" w:eastAsia="仿宋_GB2312" w:cs="Times New Roman"/>
                <w:color w:val="000000" w:themeColor="text1"/>
                <w:kern w:val="0"/>
                <w:szCs w:val="21"/>
              </w:rPr>
              <w:t>%</w:t>
            </w:r>
            <w:r>
              <w:rPr>
                <w:rFonts w:hint="eastAsia" w:ascii="Times New Roman" w:hAnsi="Times New Roman" w:eastAsia="仿宋_GB2312" w:cs="Times New Roman"/>
                <w:color w:val="000000" w:themeColor="text1"/>
                <w:kern w:val="0"/>
                <w:szCs w:val="21"/>
                <w:lang w:val="en-US" w:eastAsia="zh-CN"/>
              </w:rPr>
              <w:t>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13" w:type="pct"/>
            <w:vAlign w:val="center"/>
          </w:tcPr>
          <w:p>
            <w:pPr>
              <w:overflowPunct w:val="0"/>
              <w:spacing w:line="320" w:lineRule="exact"/>
              <w:jc w:val="center"/>
              <w:rPr>
                <w:rFonts w:ascii="仿宋_GB2312" w:hAnsi="宋体"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6</w:t>
            </w:r>
          </w:p>
        </w:tc>
        <w:tc>
          <w:tcPr>
            <w:tcW w:w="1929" w:type="pct"/>
            <w:vAlign w:val="center"/>
          </w:tcPr>
          <w:p>
            <w:pPr>
              <w:overflowPunct w:val="0"/>
              <w:spacing w:line="320" w:lineRule="exact"/>
              <w:rPr>
                <w:rFonts w:ascii="仿宋_GB2312" w:hAnsi="宋体" w:eastAsia="仿宋_GB2312" w:cs="Times New Roman"/>
                <w:color w:val="000000" w:themeColor="text1"/>
                <w:kern w:val="0"/>
                <w:szCs w:val="21"/>
              </w:rPr>
            </w:pPr>
            <w:r>
              <w:rPr>
                <w:rFonts w:hint="eastAsia" w:ascii="仿宋_GB2312" w:hAnsi="宋体" w:eastAsia="仿宋_GB2312" w:cs="Times New Roman"/>
                <w:color w:val="000000" w:themeColor="text1"/>
                <w:kern w:val="0"/>
                <w:szCs w:val="21"/>
              </w:rPr>
              <w:t>城镇新增就业人数</w:t>
            </w:r>
          </w:p>
        </w:tc>
        <w:tc>
          <w:tcPr>
            <w:tcW w:w="1279" w:type="pct"/>
            <w:vAlign w:val="center"/>
          </w:tcPr>
          <w:p>
            <w:pPr>
              <w:overflowPunct w:val="0"/>
              <w:spacing w:line="320" w:lineRule="exact"/>
              <w:jc w:val="center"/>
              <w:rPr>
                <w:rFonts w:ascii="仿宋_GB2312" w:hAnsi="宋体"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6</w:t>
            </w:r>
            <w:r>
              <w:rPr>
                <w:rFonts w:hint="eastAsia" w:ascii="仿宋_GB2312" w:hAnsi="宋体" w:eastAsia="仿宋_GB2312" w:cs="Times New Roman"/>
                <w:color w:val="000000" w:themeColor="text1"/>
                <w:kern w:val="0"/>
                <w:szCs w:val="21"/>
              </w:rPr>
              <w:t>.</w:t>
            </w:r>
            <w:r>
              <w:rPr>
                <w:rFonts w:hint="eastAsia" w:ascii="Times New Roman" w:hAnsi="Times New Roman" w:eastAsia="仿宋_GB2312" w:cs="Times New Roman"/>
                <w:color w:val="000000" w:themeColor="text1"/>
                <w:kern w:val="0"/>
                <w:szCs w:val="21"/>
              </w:rPr>
              <w:t>5</w:t>
            </w:r>
            <w:r>
              <w:rPr>
                <w:rFonts w:hint="eastAsia" w:ascii="仿宋_GB2312" w:hAnsi="宋体" w:eastAsia="仿宋_GB2312" w:cs="Times New Roman"/>
                <w:color w:val="000000" w:themeColor="text1"/>
                <w:kern w:val="0"/>
                <w:szCs w:val="21"/>
              </w:rPr>
              <w:t>万人</w:t>
            </w:r>
          </w:p>
        </w:tc>
        <w:tc>
          <w:tcPr>
            <w:tcW w:w="1280" w:type="pct"/>
            <w:vAlign w:val="center"/>
          </w:tcPr>
          <w:p>
            <w:pPr>
              <w:overflowPunct w:val="0"/>
              <w:spacing w:line="320" w:lineRule="exact"/>
              <w:jc w:val="center"/>
              <w:rPr>
                <w:rFonts w:ascii="仿宋_GB2312" w:hAnsi="宋体"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10</w:t>
            </w:r>
            <w:r>
              <w:rPr>
                <w:rFonts w:ascii="仿宋_GB2312" w:hAnsi="宋体" w:eastAsia="仿宋_GB2312" w:cs="Times New Roman"/>
                <w:color w:val="000000" w:themeColor="text1"/>
                <w:kern w:val="0"/>
                <w:szCs w:val="21"/>
              </w:rPr>
              <w:t>.</w:t>
            </w:r>
            <w:r>
              <w:rPr>
                <w:rFonts w:hint="eastAsia" w:ascii="Times New Roman" w:hAnsi="Times New Roman" w:eastAsia="仿宋_GB2312" w:cs="Times New Roman"/>
                <w:color w:val="000000" w:themeColor="text1"/>
                <w:kern w:val="0"/>
                <w:szCs w:val="21"/>
              </w:rPr>
              <w:t>1</w:t>
            </w:r>
            <w:r>
              <w:rPr>
                <w:rFonts w:hint="eastAsia" w:ascii="仿宋_GB2312" w:hAnsi="宋体" w:eastAsia="仿宋_GB2312" w:cs="Times New Roman"/>
                <w:color w:val="000000" w:themeColor="text1"/>
                <w:kern w:val="0"/>
                <w:szCs w:val="21"/>
              </w:rPr>
              <w:t>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13" w:type="pct"/>
            <w:vAlign w:val="center"/>
          </w:tcPr>
          <w:p>
            <w:pPr>
              <w:overflowPunct w:val="0"/>
              <w:spacing w:line="320" w:lineRule="exact"/>
              <w:jc w:val="center"/>
              <w:rPr>
                <w:rFonts w:ascii="仿宋_GB2312" w:hAnsi="宋体"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7</w:t>
            </w:r>
          </w:p>
        </w:tc>
        <w:tc>
          <w:tcPr>
            <w:tcW w:w="1929" w:type="pct"/>
            <w:vAlign w:val="center"/>
          </w:tcPr>
          <w:p>
            <w:pPr>
              <w:overflowPunct w:val="0"/>
              <w:spacing w:line="320" w:lineRule="exact"/>
              <w:rPr>
                <w:rFonts w:ascii="仿宋_GB2312" w:hAnsi="宋体" w:eastAsia="仿宋_GB2312" w:cs="Times New Roman"/>
                <w:color w:val="000000" w:themeColor="text1"/>
                <w:kern w:val="0"/>
                <w:szCs w:val="21"/>
              </w:rPr>
            </w:pPr>
            <w:r>
              <w:rPr>
                <w:rFonts w:hint="eastAsia" w:ascii="仿宋_GB2312" w:hAnsi="宋体" w:eastAsia="仿宋_GB2312" w:cs="Times New Roman"/>
                <w:color w:val="000000" w:themeColor="text1"/>
                <w:kern w:val="0"/>
                <w:szCs w:val="21"/>
              </w:rPr>
              <w:t>城镇登记失业率</w:t>
            </w:r>
          </w:p>
        </w:tc>
        <w:tc>
          <w:tcPr>
            <w:tcW w:w="1279" w:type="pct"/>
            <w:vAlign w:val="center"/>
          </w:tcPr>
          <w:p>
            <w:pPr>
              <w:overflowPunct w:val="0"/>
              <w:spacing w:line="320" w:lineRule="exact"/>
              <w:jc w:val="center"/>
              <w:rPr>
                <w:rFonts w:ascii="仿宋_GB2312" w:hAnsi="宋体"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3%</w:t>
            </w:r>
            <w:r>
              <w:rPr>
                <w:rFonts w:hint="eastAsia" w:ascii="仿宋_GB2312" w:hAnsi="宋体" w:eastAsia="仿宋_GB2312" w:cs="Times New Roman"/>
                <w:color w:val="000000" w:themeColor="text1"/>
                <w:kern w:val="0"/>
                <w:szCs w:val="21"/>
              </w:rPr>
              <w:t>以内</w:t>
            </w:r>
          </w:p>
        </w:tc>
        <w:tc>
          <w:tcPr>
            <w:tcW w:w="1280" w:type="pct"/>
            <w:vAlign w:val="center"/>
          </w:tcPr>
          <w:p>
            <w:pPr>
              <w:overflowPunct w:val="0"/>
              <w:spacing w:line="320" w:lineRule="exact"/>
              <w:jc w:val="center"/>
              <w:rPr>
                <w:rFonts w:ascii="仿宋_GB2312" w:hAnsi="宋体"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1</w:t>
            </w:r>
            <w:r>
              <w:rPr>
                <w:rFonts w:ascii="仿宋_GB2312" w:hAnsi="宋体" w:eastAsia="仿宋_GB2312" w:cs="Times New Roman"/>
                <w:color w:val="000000" w:themeColor="text1"/>
                <w:kern w:val="0"/>
                <w:szCs w:val="21"/>
              </w:rPr>
              <w:t>.</w:t>
            </w:r>
            <w:r>
              <w:rPr>
                <w:rFonts w:hint="eastAsia" w:ascii="Times New Roman" w:hAnsi="Times New Roman" w:eastAsia="仿宋_GB2312" w:cs="Times New Roman"/>
                <w:color w:val="000000" w:themeColor="text1"/>
                <w:kern w:val="0"/>
                <w:szCs w:val="21"/>
              </w:rPr>
              <w:t>76%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13" w:type="pct"/>
            <w:vAlign w:val="center"/>
          </w:tcPr>
          <w:p>
            <w:pPr>
              <w:overflowPunct w:val="0"/>
              <w:spacing w:line="320" w:lineRule="exact"/>
              <w:jc w:val="center"/>
              <w:rPr>
                <w:rFonts w:ascii="仿宋_GB2312" w:hAnsi="宋体"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8</w:t>
            </w:r>
          </w:p>
        </w:tc>
        <w:tc>
          <w:tcPr>
            <w:tcW w:w="1929" w:type="pct"/>
            <w:vAlign w:val="center"/>
          </w:tcPr>
          <w:p>
            <w:pPr>
              <w:overflowPunct w:val="0"/>
              <w:spacing w:line="320" w:lineRule="exact"/>
              <w:rPr>
                <w:rFonts w:ascii="仿宋_GB2312" w:hAnsi="宋体" w:eastAsia="仿宋_GB2312" w:cs="Times New Roman"/>
                <w:color w:val="000000" w:themeColor="text1"/>
                <w:kern w:val="0"/>
                <w:szCs w:val="21"/>
              </w:rPr>
            </w:pPr>
            <w:r>
              <w:rPr>
                <w:rFonts w:hint="eastAsia" w:ascii="仿宋_GB2312" w:hAnsi="宋体" w:eastAsia="仿宋_GB2312" w:cs="Times New Roman"/>
                <w:color w:val="000000" w:themeColor="text1"/>
                <w:kern w:val="0"/>
                <w:szCs w:val="21"/>
              </w:rPr>
              <w:t>居民消费价格涨幅</w:t>
            </w:r>
          </w:p>
        </w:tc>
        <w:tc>
          <w:tcPr>
            <w:tcW w:w="1279" w:type="pct"/>
            <w:vAlign w:val="center"/>
          </w:tcPr>
          <w:p>
            <w:pPr>
              <w:overflowPunct w:val="0"/>
              <w:spacing w:line="320" w:lineRule="exact"/>
              <w:jc w:val="center"/>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3%左右</w:t>
            </w:r>
          </w:p>
        </w:tc>
        <w:tc>
          <w:tcPr>
            <w:tcW w:w="1280" w:type="pct"/>
            <w:vAlign w:val="center"/>
          </w:tcPr>
          <w:p>
            <w:pPr>
              <w:overflowPunct w:val="0"/>
              <w:spacing w:line="320" w:lineRule="exact"/>
              <w:jc w:val="center"/>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2</w:t>
            </w:r>
            <w:r>
              <w:rPr>
                <w:rFonts w:ascii="仿宋_GB2312" w:hAnsi="宋体" w:eastAsia="仿宋_GB2312" w:cs="Times New Roman"/>
                <w:color w:val="000000" w:themeColor="text1"/>
                <w:kern w:val="0"/>
                <w:szCs w:val="21"/>
              </w:rPr>
              <w:t>.</w:t>
            </w:r>
            <w:r>
              <w:rPr>
                <w:rFonts w:hint="eastAsia" w:ascii="Times New Roman" w:hAnsi="Times New Roman" w:eastAsia="仿宋_GB2312" w:cs="Times New Roman"/>
                <w:color w:val="000000" w:themeColor="text1"/>
                <w:kern w:val="0"/>
                <w:szCs w:val="21"/>
              </w:rPr>
              <w:t>9%</w:t>
            </w:r>
          </w:p>
        </w:tc>
      </w:tr>
    </w:tbl>
    <w:p>
      <w:pPr>
        <w:overflowPunct w:val="0"/>
        <w:spacing w:line="550" w:lineRule="exact"/>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对照市五届人大四次会议确定的六大类</w:t>
      </w:r>
      <w:r>
        <w:rPr>
          <w:rFonts w:hint="eastAsia" w:ascii="Times New Roman" w:hAnsi="Times New Roman" w:eastAsia="仿宋_GB2312" w:cs="Times New Roman"/>
          <w:color w:val="000000" w:themeColor="text1"/>
          <w:sz w:val="32"/>
          <w:szCs w:val="32"/>
        </w:rPr>
        <w:t>35</w:t>
      </w:r>
      <w:r>
        <w:rPr>
          <w:rFonts w:hint="eastAsia" w:ascii="仿宋_GB2312" w:hAnsi="Times New Roman" w:eastAsia="仿宋_GB2312" w:cs="Times New Roman"/>
          <w:color w:val="000000" w:themeColor="text1"/>
          <w:sz w:val="32"/>
          <w:szCs w:val="32"/>
        </w:rPr>
        <w:t>项</w:t>
      </w:r>
      <w:r>
        <w:rPr>
          <w:rFonts w:hint="eastAsia" w:ascii="Times New Roman" w:hAnsi="Times New Roman" w:eastAsia="仿宋_GB2312" w:cs="Times New Roman"/>
          <w:color w:val="000000" w:themeColor="text1"/>
          <w:sz w:val="32"/>
          <w:szCs w:val="32"/>
        </w:rPr>
        <w:t>55</w:t>
      </w:r>
      <w:r>
        <w:rPr>
          <w:rFonts w:hint="eastAsia" w:ascii="仿宋_GB2312" w:hAnsi="Times New Roman" w:eastAsia="仿宋_GB2312" w:cs="Times New Roman"/>
          <w:color w:val="000000" w:themeColor="text1"/>
          <w:sz w:val="32"/>
          <w:szCs w:val="32"/>
        </w:rPr>
        <w:t>个指标，预计</w:t>
      </w:r>
      <w:r>
        <w:rPr>
          <w:rFonts w:hint="eastAsia" w:ascii="Times New Roman" w:hAnsi="Times New Roman" w:eastAsia="仿宋_GB2312" w:cs="Times New Roman"/>
          <w:color w:val="000000" w:themeColor="text1"/>
          <w:sz w:val="32"/>
          <w:szCs w:val="32"/>
        </w:rPr>
        <w:t>45</w:t>
      </w:r>
      <w:r>
        <w:rPr>
          <w:rFonts w:hint="eastAsia" w:ascii="仿宋_GB2312" w:hAnsi="Times New Roman" w:eastAsia="仿宋_GB2312" w:cs="Times New Roman"/>
          <w:color w:val="000000" w:themeColor="text1"/>
          <w:sz w:val="32"/>
          <w:szCs w:val="32"/>
        </w:rPr>
        <w:t>个指标能够完成年度目标任务（具体见附录</w:t>
      </w:r>
      <w:r>
        <w:rPr>
          <w:rFonts w:hint="eastAsia" w:ascii="Times New Roman" w:hAnsi="Times New Roman" w:eastAsia="仿宋_GB2312" w:cs="Times New Roman"/>
          <w:color w:val="000000" w:themeColor="text1"/>
          <w:sz w:val="32"/>
          <w:szCs w:val="32"/>
        </w:rPr>
        <w:t>1</w:t>
      </w:r>
      <w:r>
        <w:rPr>
          <w:rFonts w:hint="eastAsia" w:ascii="仿宋_GB2312" w:hAnsi="Times New Roman" w:eastAsia="仿宋_GB2312" w:cs="Times New Roman"/>
          <w:color w:val="000000" w:themeColor="text1"/>
          <w:sz w:val="32"/>
          <w:szCs w:val="32"/>
        </w:rPr>
        <w:t>）。其中，生态环境高质量</w:t>
      </w:r>
      <w:r>
        <w:rPr>
          <w:rFonts w:hint="eastAsia" w:ascii="Times New Roman" w:hAnsi="Times New Roman" w:eastAsia="仿宋_GB2312" w:cs="Times New Roman"/>
          <w:color w:val="000000" w:themeColor="text1"/>
          <w:sz w:val="32"/>
          <w:szCs w:val="32"/>
        </w:rPr>
        <w:t>10</w:t>
      </w:r>
      <w:r>
        <w:rPr>
          <w:rFonts w:hint="eastAsia" w:ascii="仿宋_GB2312" w:hAnsi="Times New Roman" w:eastAsia="仿宋_GB2312" w:cs="Times New Roman"/>
          <w:color w:val="000000" w:themeColor="text1"/>
          <w:sz w:val="32"/>
          <w:szCs w:val="32"/>
        </w:rPr>
        <w:t>个约束性指标全部完成年度目标任务；地区生产总值、服务业增加值、固定资产投资、工业投资、高技术制造业投资占工业投资比重、社会消费品零售总额、外经营业额、</w:t>
      </w:r>
      <w:r>
        <w:rPr>
          <w:rFonts w:hint="eastAsia" w:ascii="Times New Roman" w:hAnsi="Times New Roman" w:eastAsia="仿宋_GB2312" w:cs="Times New Roman"/>
          <w:color w:val="000000" w:themeColor="text1"/>
          <w:sz w:val="32"/>
          <w:szCs w:val="32"/>
        </w:rPr>
        <w:t>3000</w:t>
      </w:r>
      <w:r>
        <w:rPr>
          <w:rFonts w:hint="eastAsia" w:ascii="仿宋_GB2312" w:hAnsi="Times New Roman" w:eastAsia="仿宋_GB2312" w:cs="Times New Roman"/>
          <w:color w:val="000000" w:themeColor="text1"/>
          <w:sz w:val="32"/>
          <w:szCs w:val="32"/>
        </w:rPr>
        <w:t>万美元以上外资项目、工业入库税收、文化及相关产业增加值占</w:t>
      </w:r>
      <w:r>
        <w:rPr>
          <w:rFonts w:hint="eastAsia" w:ascii="Times New Roman" w:hAnsi="Times New Roman" w:eastAsia="仿宋_GB2312" w:cs="Times New Roman"/>
          <w:color w:val="000000" w:themeColor="text1"/>
          <w:sz w:val="32"/>
          <w:szCs w:val="32"/>
        </w:rPr>
        <w:t>GDP</w:t>
      </w:r>
      <w:r>
        <w:rPr>
          <w:rFonts w:hint="eastAsia" w:ascii="仿宋_GB2312" w:hAnsi="Times New Roman" w:eastAsia="仿宋_GB2312" w:cs="Times New Roman"/>
          <w:color w:val="000000" w:themeColor="text1"/>
          <w:sz w:val="32"/>
          <w:szCs w:val="32"/>
        </w:rPr>
        <w:t>比重等</w:t>
      </w:r>
      <w:r>
        <w:rPr>
          <w:rFonts w:hint="eastAsia" w:ascii="Times New Roman" w:hAnsi="Times New Roman" w:eastAsia="仿宋_GB2312" w:cs="Times New Roman"/>
          <w:color w:val="000000" w:themeColor="text1"/>
          <w:sz w:val="32"/>
          <w:szCs w:val="32"/>
        </w:rPr>
        <w:t>10</w:t>
      </w:r>
      <w:r>
        <w:rPr>
          <w:rFonts w:hint="eastAsia" w:ascii="仿宋_GB2312" w:hAnsi="Times New Roman" w:eastAsia="仿宋_GB2312" w:cs="Times New Roman"/>
          <w:color w:val="000000" w:themeColor="text1"/>
          <w:sz w:val="32"/>
          <w:szCs w:val="32"/>
        </w:rPr>
        <w:t>个指标与计划目标存在一定差距。</w:t>
      </w:r>
    </w:p>
    <w:p>
      <w:pPr>
        <w:overflowPunct w:val="0"/>
        <w:spacing w:line="550" w:lineRule="exact"/>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一年来，全市经济社会发展呈现以下六个方面的特点：</w:t>
      </w:r>
    </w:p>
    <w:p>
      <w:pPr>
        <w:overflowPunct w:val="0"/>
        <w:spacing w:line="550" w:lineRule="exact"/>
        <w:ind w:firstLine="640" w:firstLineChars="200"/>
        <w:rPr>
          <w:rFonts w:ascii="仿宋_GB2312"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1</w:t>
      </w:r>
      <w:r>
        <w:rPr>
          <w:rFonts w:hint="eastAsia" w:ascii="楷体_GB2312" w:hAnsi="方正楷体_GBK" w:eastAsia="楷体_GB2312" w:cs="方正楷体_GBK"/>
          <w:color w:val="000000" w:themeColor="text1"/>
          <w:sz w:val="32"/>
          <w:szCs w:val="32"/>
        </w:rPr>
        <w:t>．主要指标回暖向好。</w:t>
      </w:r>
      <w:r>
        <w:rPr>
          <w:rFonts w:hint="eastAsia" w:ascii="仿宋_GB2312" w:hAnsi="Times New Roman" w:eastAsia="仿宋_GB2312" w:cs="Times New Roman"/>
          <w:color w:val="000000" w:themeColor="text1"/>
          <w:sz w:val="32"/>
          <w:szCs w:val="32"/>
        </w:rPr>
        <w:t>受新冠肺炎疫情冲击，一季度全市主要经济指标大幅低开。市委、市政府快速反应、高效应对，因时因势调整工作重心和着力点，及时按下复工复产“加速键”，全市经济逐季好转、稳定恢复。预计全年实现地区生产总值</w:t>
      </w:r>
      <w:r>
        <w:rPr>
          <w:rFonts w:hint="eastAsia" w:ascii="Times New Roman" w:hAnsi="Times New Roman" w:eastAsia="仿宋_GB2312" w:cs="Times New Roman"/>
          <w:color w:val="000000" w:themeColor="text1"/>
          <w:sz w:val="32"/>
          <w:szCs w:val="32"/>
        </w:rPr>
        <w:t>53</w:t>
      </w:r>
      <w:r>
        <w:rPr>
          <w:rFonts w:hint="eastAsia" w:ascii="Times New Roman" w:hAnsi="Times New Roman" w:eastAsia="仿宋_GB2312" w:cs="Times New Roman"/>
          <w:color w:val="000000" w:themeColor="text1"/>
          <w:sz w:val="32"/>
          <w:szCs w:val="32"/>
          <w:lang w:val="en-US" w:eastAsia="zh-CN"/>
        </w:rPr>
        <w:t>12</w:t>
      </w:r>
      <w:r>
        <w:rPr>
          <w:rFonts w:hint="eastAsia" w:ascii="仿宋_GB2312" w:hAnsi="Times New Roman" w:eastAsia="仿宋_GB2312" w:cs="Times New Roman"/>
          <w:color w:val="000000" w:themeColor="text1"/>
          <w:sz w:val="32"/>
          <w:szCs w:val="32"/>
        </w:rPr>
        <w:t>亿元，可比增长</w:t>
      </w:r>
      <w:r>
        <w:rPr>
          <w:rFonts w:hint="eastAsia" w:ascii="Times New Roman" w:hAnsi="Times New Roman" w:eastAsia="仿宋_GB2312" w:cs="Times New Roman"/>
          <w:color w:val="000000" w:themeColor="text1"/>
          <w:sz w:val="32"/>
          <w:szCs w:val="32"/>
        </w:rPr>
        <w:t>3</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lang w:val="en-US" w:eastAsia="zh-CN"/>
        </w:rPr>
        <w:t>6</w:t>
      </w:r>
      <w:r>
        <w:rPr>
          <w:rFonts w:hint="eastAsia" w:ascii="Times New Roman" w:hAnsi="Times New Roman" w:eastAsia="仿宋_GB2312" w:cs="Times New Roman"/>
          <w:color w:val="000000" w:themeColor="text1"/>
          <w:sz w:val="32"/>
          <w:szCs w:val="32"/>
        </w:rPr>
        <w:t>%</w:t>
      </w:r>
      <w:r>
        <w:rPr>
          <w:rFonts w:hint="eastAsia" w:ascii="仿宋_GB2312" w:hAnsi="Times New Roman" w:eastAsia="仿宋_GB2312" w:cs="Times New Roman"/>
          <w:color w:val="000000" w:themeColor="text1"/>
          <w:sz w:val="32"/>
          <w:szCs w:val="32"/>
        </w:rPr>
        <w:t>，增速虽然低于预期目标</w:t>
      </w:r>
      <w:r>
        <w:rPr>
          <w:rFonts w:hint="eastAsia" w:ascii="Times New Roman" w:hAnsi="Times New Roman" w:eastAsia="仿宋_GB2312" w:cs="Times New Roman"/>
          <w:color w:val="000000" w:themeColor="text1"/>
          <w:sz w:val="32"/>
          <w:szCs w:val="32"/>
          <w:lang w:val="en-US" w:eastAsia="zh-CN"/>
        </w:rPr>
        <w:t>2.9</w:t>
      </w:r>
      <w:r>
        <w:rPr>
          <w:rFonts w:hint="eastAsia" w:ascii="仿宋_GB2312" w:hAnsi="Times New Roman" w:eastAsia="仿宋_GB2312" w:cs="Times New Roman"/>
          <w:color w:val="000000" w:themeColor="text1"/>
          <w:sz w:val="32"/>
          <w:szCs w:val="32"/>
        </w:rPr>
        <w:t>个百分点，但较一季度回暖</w:t>
      </w:r>
      <w:r>
        <w:rPr>
          <w:rFonts w:hint="eastAsia" w:ascii="Times New Roman" w:hAnsi="Times New Roman" w:eastAsia="仿宋_GB2312" w:cs="Times New Roman"/>
          <w:color w:val="000000" w:themeColor="text1"/>
          <w:sz w:val="32"/>
          <w:szCs w:val="32"/>
        </w:rPr>
        <w:t>8</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lang w:val="en-US" w:eastAsia="zh-CN"/>
        </w:rPr>
        <w:t>8</w:t>
      </w:r>
      <w:r>
        <w:rPr>
          <w:rFonts w:hint="eastAsia" w:ascii="仿宋_GB2312" w:hAnsi="Times New Roman" w:eastAsia="仿宋_GB2312" w:cs="Times New Roman"/>
          <w:color w:val="000000" w:themeColor="text1"/>
          <w:sz w:val="32"/>
          <w:szCs w:val="32"/>
        </w:rPr>
        <w:t>个百分点；一般公共预算收入</w:t>
      </w:r>
      <w:r>
        <w:rPr>
          <w:rFonts w:hint="eastAsia" w:ascii="Times New Roman" w:hAnsi="Times New Roman" w:eastAsia="仿宋_GB2312" w:cs="Times New Roman"/>
          <w:color w:val="000000" w:themeColor="text1"/>
          <w:sz w:val="32"/>
          <w:szCs w:val="32"/>
        </w:rPr>
        <w:t>383</w:t>
      </w:r>
      <w:r>
        <w:rPr>
          <w:rFonts w:hint="eastAsia" w:ascii="仿宋_GB2312" w:hAnsi="Times New Roman" w:eastAsia="仿宋_GB2312" w:cs="Times New Roman"/>
          <w:color w:val="000000" w:themeColor="text1"/>
          <w:sz w:val="32"/>
          <w:szCs w:val="32"/>
        </w:rPr>
        <w:t>亿元，同比增长</w:t>
      </w:r>
      <w:r>
        <w:rPr>
          <w:rFonts w:hint="eastAsia" w:ascii="Times New Roman"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6%</w:t>
      </w:r>
      <w:r>
        <w:rPr>
          <w:rFonts w:hint="eastAsia" w:ascii="仿宋_GB2312" w:hAnsi="Times New Roman" w:eastAsia="仿宋_GB2312" w:cs="Times New Roman"/>
          <w:color w:val="000000" w:themeColor="text1"/>
          <w:sz w:val="32"/>
          <w:szCs w:val="32"/>
        </w:rPr>
        <w:t>，增速较一季度回暖</w:t>
      </w:r>
      <w:r>
        <w:rPr>
          <w:rFonts w:hint="eastAsia" w:ascii="Times New Roman" w:hAnsi="Times New Roman" w:eastAsia="仿宋_GB2312" w:cs="Times New Roman"/>
          <w:color w:val="000000" w:themeColor="text1"/>
          <w:sz w:val="32"/>
          <w:szCs w:val="32"/>
        </w:rPr>
        <w:t>12</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3</w:t>
      </w:r>
      <w:r>
        <w:rPr>
          <w:rFonts w:hint="eastAsia" w:ascii="仿宋_GB2312" w:hAnsi="Times New Roman" w:eastAsia="仿宋_GB2312" w:cs="Times New Roman"/>
          <w:color w:val="000000" w:themeColor="text1"/>
          <w:sz w:val="32"/>
          <w:szCs w:val="32"/>
        </w:rPr>
        <w:t>个百分点。制定出台惠企十条、稳外贸十条、惠农十条等政策措施，发放</w:t>
      </w:r>
      <w:r>
        <w:rPr>
          <w:rFonts w:hint="eastAsia" w:ascii="Times New Roman" w:hAnsi="Times New Roman" w:eastAsia="仿宋_GB2312" w:cs="Times New Roman"/>
          <w:color w:val="000000" w:themeColor="text1"/>
          <w:sz w:val="32"/>
          <w:szCs w:val="32"/>
        </w:rPr>
        <w:t>5000</w:t>
      </w:r>
      <w:r>
        <w:rPr>
          <w:rFonts w:hint="eastAsia" w:ascii="仿宋_GB2312" w:hAnsi="Times New Roman" w:eastAsia="仿宋_GB2312" w:cs="Times New Roman"/>
          <w:color w:val="000000" w:themeColor="text1"/>
          <w:sz w:val="32"/>
          <w:szCs w:val="32"/>
        </w:rPr>
        <w:t>万元旅游（餐饮）消费券，全面推动复工复产复商复市，规上工业增加值增长</w:t>
      </w:r>
      <w:r>
        <w:rPr>
          <w:rFonts w:hint="eastAsia" w:ascii="Times New Roman" w:hAnsi="Times New Roman" w:eastAsia="仿宋_GB2312" w:cs="Times New Roman"/>
          <w:color w:val="000000" w:themeColor="text1"/>
          <w:sz w:val="32"/>
          <w:szCs w:val="32"/>
        </w:rPr>
        <w:t>6</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4%</w:t>
      </w:r>
      <w:r>
        <w:rPr>
          <w:rFonts w:hint="eastAsia" w:ascii="仿宋_GB2312" w:hAnsi="Times New Roman" w:eastAsia="仿宋_GB2312" w:cs="Times New Roman"/>
          <w:color w:val="000000" w:themeColor="text1"/>
          <w:sz w:val="32"/>
          <w:szCs w:val="32"/>
        </w:rPr>
        <w:t>，增速较一季度回暖</w:t>
      </w:r>
      <w:r>
        <w:rPr>
          <w:rFonts w:hint="eastAsia" w:ascii="Times New Roman" w:hAnsi="Times New Roman" w:eastAsia="仿宋_GB2312" w:cs="Times New Roman"/>
          <w:color w:val="000000" w:themeColor="text1"/>
          <w:sz w:val="32"/>
          <w:szCs w:val="32"/>
        </w:rPr>
        <w:t>15</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4</w:t>
      </w:r>
      <w:r>
        <w:rPr>
          <w:rFonts w:hint="eastAsia" w:ascii="仿宋_GB2312" w:hAnsi="Times New Roman" w:eastAsia="仿宋_GB2312" w:cs="Times New Roman"/>
          <w:color w:val="000000" w:themeColor="text1"/>
          <w:sz w:val="32"/>
          <w:szCs w:val="32"/>
        </w:rPr>
        <w:t>个百分点。三大需求由负转正，固定资产投资、社会消费品零售总额、进出口总额逐月回暖，预计全年实现正增长。全力做好保供稳价工作，全年居民消费价格涨幅</w:t>
      </w:r>
      <w:r>
        <w:rPr>
          <w:rFonts w:hint="eastAsia" w:ascii="Times New Roman"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9%</w:t>
      </w:r>
      <w:r>
        <w:rPr>
          <w:rFonts w:hint="eastAsia" w:ascii="仿宋_GB2312" w:hAnsi="Times New Roman" w:eastAsia="仿宋_GB2312" w:cs="Times New Roman"/>
          <w:color w:val="000000" w:themeColor="text1"/>
          <w:sz w:val="32"/>
          <w:szCs w:val="32"/>
        </w:rPr>
        <w:t>，较一季度回落</w:t>
      </w:r>
      <w:r>
        <w:rPr>
          <w:rFonts w:hint="eastAsia" w:ascii="Times New Roman"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4</w:t>
      </w:r>
      <w:r>
        <w:rPr>
          <w:rFonts w:hint="eastAsia" w:ascii="仿宋_GB2312" w:hAnsi="Times New Roman" w:eastAsia="仿宋_GB2312" w:cs="Times New Roman"/>
          <w:color w:val="000000" w:themeColor="text1"/>
          <w:sz w:val="32"/>
          <w:szCs w:val="32"/>
        </w:rPr>
        <w:t>个百分点。</w:t>
      </w:r>
    </w:p>
    <w:p>
      <w:pPr>
        <w:overflowPunct w:val="0"/>
        <w:spacing w:line="550" w:lineRule="exact"/>
        <w:ind w:firstLine="640" w:firstLineChars="200"/>
        <w:rPr>
          <w:rFonts w:ascii="仿宋_GB2312" w:hAnsi="Times New Roman" w:eastAsia="仿宋_GB2312" w:cs="Times New Roman"/>
          <w:color w:val="000000" w:themeColor="text1"/>
          <w:sz w:val="32"/>
          <w:szCs w:val="32"/>
        </w:rPr>
      </w:pPr>
      <w:r>
        <w:rPr>
          <w:rFonts w:hint="eastAsia" w:ascii="Times New Roman" w:hAnsi="Times New Roman" w:eastAsia="方正楷体_GBK" w:cs="方正楷体_GBK"/>
          <w:color w:val="000000" w:themeColor="text1"/>
          <w:sz w:val="32"/>
          <w:szCs w:val="32"/>
        </w:rPr>
        <w:t>2</w:t>
      </w:r>
      <w:r>
        <w:rPr>
          <w:rFonts w:hint="eastAsia" w:ascii="楷体_GB2312" w:hAnsi="方正楷体_GBK" w:eastAsia="楷体_GB2312" w:cs="方正楷体_GBK"/>
          <w:color w:val="000000" w:themeColor="text1"/>
          <w:sz w:val="32"/>
          <w:szCs w:val="32"/>
        </w:rPr>
        <w:t>．转型升级成效明显。</w:t>
      </w:r>
      <w:r>
        <w:rPr>
          <w:rFonts w:hint="eastAsia" w:ascii="仿宋_GB2312" w:hAnsi="Times New Roman" w:eastAsia="仿宋_GB2312" w:cs="Times New Roman"/>
          <w:color w:val="000000" w:themeColor="text1"/>
          <w:sz w:val="32"/>
          <w:szCs w:val="32"/>
        </w:rPr>
        <w:t>加快产业强市建设步伐，编制产业链图谱、招商地图和投资地图，预计全年三大先进制造业产值增速高于规上工业增速</w:t>
      </w:r>
      <w:r>
        <w:rPr>
          <w:rFonts w:hint="eastAsia" w:ascii="Times New Roman" w:hAnsi="Times New Roman" w:eastAsia="仿宋_GB2312" w:cs="Times New Roman"/>
          <w:color w:val="000000" w:themeColor="text1"/>
          <w:sz w:val="32"/>
          <w:szCs w:val="32"/>
        </w:rPr>
        <w:t>7</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5</w:t>
      </w:r>
      <w:r>
        <w:rPr>
          <w:rFonts w:hint="eastAsia" w:ascii="仿宋_GB2312" w:hAnsi="Times New Roman" w:eastAsia="仿宋_GB2312" w:cs="Times New Roman"/>
          <w:color w:val="000000" w:themeColor="text1"/>
          <w:sz w:val="32"/>
          <w:szCs w:val="32"/>
        </w:rPr>
        <w:t>个百分点。医药产业顺势而上，在抗击新冠疫情的关键时期，生产新冠检测试剂盒</w:t>
      </w:r>
      <w:r>
        <w:rPr>
          <w:rFonts w:hint="eastAsia" w:ascii="Times New Roman" w:hAnsi="Times New Roman" w:eastAsia="仿宋_GB2312" w:cs="Times New Roman"/>
          <w:color w:val="000000" w:themeColor="text1"/>
          <w:sz w:val="32"/>
          <w:szCs w:val="32"/>
        </w:rPr>
        <w:t>1500</w:t>
      </w:r>
      <w:r>
        <w:rPr>
          <w:rFonts w:hint="eastAsia" w:ascii="仿宋_GB2312" w:hAnsi="Times New Roman" w:eastAsia="仿宋_GB2312" w:cs="Times New Roman"/>
          <w:color w:val="000000" w:themeColor="text1"/>
          <w:sz w:val="32"/>
          <w:szCs w:val="32"/>
        </w:rPr>
        <w:t>余万人份，药品注册批件数增长</w:t>
      </w:r>
      <w:r>
        <w:rPr>
          <w:rFonts w:hint="eastAsia" w:ascii="Times New Roman" w:hAnsi="Times New Roman" w:eastAsia="仿宋_GB2312" w:cs="Times New Roman"/>
          <w:color w:val="000000" w:themeColor="text1"/>
          <w:sz w:val="32"/>
          <w:szCs w:val="32"/>
        </w:rPr>
        <w:t>41</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7%</w:t>
      </w:r>
      <w:r>
        <w:rPr>
          <w:rFonts w:hint="eastAsia" w:ascii="仿宋_GB2312" w:hAnsi="Times New Roman" w:eastAsia="仿宋_GB2312" w:cs="Times New Roman"/>
          <w:color w:val="000000" w:themeColor="text1"/>
          <w:sz w:val="32"/>
          <w:szCs w:val="32"/>
        </w:rPr>
        <w:t>；在全省率先启动重组新冠疫苗研发项目，瑞科生物新冠疫苗产业化基地正式开工；国际遗传工程与生物技术中心—中国区域研究中心正式建成；北京大学医学部（泰州）医药健康产业创新中心签约落户。推行企业科技创新积分管理</w:t>
      </w:r>
      <w:r>
        <w:rPr>
          <w:rStyle w:val="13"/>
          <w:rFonts w:hint="eastAsia" w:ascii="仿宋_GB2312" w:hAnsi="Times New Roman" w:eastAsia="仿宋_GB2312" w:cs="Times New Roman"/>
          <w:color w:val="000000" w:themeColor="text1"/>
          <w:sz w:val="32"/>
          <w:szCs w:val="32"/>
        </w:rPr>
        <w:footnoteReference w:id="1"/>
      </w:r>
      <w:r>
        <w:rPr>
          <w:rFonts w:hint="eastAsia" w:ascii="仿宋_GB2312" w:hAnsi="Times New Roman" w:eastAsia="仿宋_GB2312" w:cs="Times New Roman"/>
          <w:color w:val="000000" w:themeColor="text1"/>
          <w:sz w:val="32"/>
          <w:szCs w:val="32"/>
        </w:rPr>
        <w:t>，预计全社会研发经费支出占地区生产总值比重</w:t>
      </w:r>
      <w:r>
        <w:rPr>
          <w:rFonts w:hint="eastAsia" w:ascii="Times New Roman"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65%</w:t>
      </w:r>
      <w:r>
        <w:rPr>
          <w:rFonts w:hint="eastAsia" w:ascii="仿宋_GB2312" w:hAnsi="Times New Roman" w:eastAsia="仿宋_GB2312" w:cs="Times New Roman"/>
          <w:color w:val="000000" w:themeColor="text1"/>
          <w:sz w:val="32"/>
          <w:szCs w:val="32"/>
        </w:rPr>
        <w:t>，新认定高新技术企业</w:t>
      </w:r>
      <w:r>
        <w:rPr>
          <w:rFonts w:hint="eastAsia" w:ascii="Times New Roman" w:hAnsi="Times New Roman" w:eastAsia="仿宋_GB2312" w:cs="Times New Roman"/>
          <w:color w:val="000000" w:themeColor="text1"/>
          <w:sz w:val="32"/>
          <w:szCs w:val="32"/>
        </w:rPr>
        <w:t>450</w:t>
      </w:r>
      <w:r>
        <w:rPr>
          <w:rFonts w:hint="eastAsia" w:ascii="仿宋_GB2312" w:hAnsi="Times New Roman" w:eastAsia="仿宋_GB2312" w:cs="Times New Roman"/>
          <w:color w:val="000000" w:themeColor="text1"/>
          <w:sz w:val="32"/>
          <w:szCs w:val="32"/>
        </w:rPr>
        <w:t>家，规上工业企业研发机构建有率</w:t>
      </w:r>
      <w:r>
        <w:rPr>
          <w:rFonts w:hint="eastAsia" w:ascii="Times New Roman" w:hAnsi="Times New Roman" w:eastAsia="仿宋_GB2312" w:cs="Times New Roman"/>
          <w:color w:val="000000" w:themeColor="text1"/>
          <w:sz w:val="32"/>
          <w:szCs w:val="32"/>
        </w:rPr>
        <w:t>55%</w:t>
      </w:r>
      <w:r>
        <w:rPr>
          <w:rFonts w:hint="eastAsia" w:ascii="仿宋_GB2312" w:hAnsi="Times New Roman" w:eastAsia="仿宋_GB2312" w:cs="Times New Roman"/>
          <w:color w:val="000000" w:themeColor="text1"/>
          <w:sz w:val="32"/>
          <w:szCs w:val="32"/>
        </w:rPr>
        <w:t>，高新技术产业产值占规模以上工业比重提高到</w:t>
      </w:r>
      <w:r>
        <w:rPr>
          <w:rFonts w:hint="eastAsia" w:ascii="Times New Roman" w:hAnsi="Times New Roman" w:eastAsia="仿宋_GB2312" w:cs="Times New Roman"/>
          <w:color w:val="000000" w:themeColor="text1"/>
          <w:sz w:val="32"/>
          <w:szCs w:val="32"/>
        </w:rPr>
        <w:t>45</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5%</w:t>
      </w:r>
      <w:r>
        <w:rPr>
          <w:rFonts w:hint="eastAsia" w:ascii="仿宋_GB2312" w:hAnsi="Times New Roman" w:eastAsia="仿宋_GB2312" w:cs="Times New Roman"/>
          <w:color w:val="000000" w:themeColor="text1"/>
          <w:sz w:val="32"/>
          <w:szCs w:val="32"/>
        </w:rPr>
        <w:t>，发明专利授权量增长超过</w:t>
      </w:r>
      <w:r>
        <w:rPr>
          <w:rFonts w:hint="eastAsia" w:ascii="Times New Roman" w:hAnsi="Times New Roman" w:eastAsia="仿宋_GB2312" w:cs="Times New Roman"/>
          <w:color w:val="000000" w:themeColor="text1"/>
          <w:sz w:val="32"/>
          <w:szCs w:val="32"/>
        </w:rPr>
        <w:t>20%</w:t>
      </w:r>
      <w:r>
        <w:rPr>
          <w:rFonts w:hint="eastAsia" w:ascii="仿宋_GB2312" w:hAnsi="Times New Roman" w:eastAsia="仿宋_GB2312" w:cs="Times New Roman"/>
          <w:color w:val="000000" w:themeColor="text1"/>
          <w:sz w:val="32"/>
          <w:szCs w:val="32"/>
        </w:rPr>
        <w:t>，新招引高层次人才</w:t>
      </w:r>
      <w:r>
        <w:rPr>
          <w:rFonts w:hint="eastAsia" w:ascii="Times New Roman" w:hAnsi="Times New Roman" w:eastAsia="仿宋_GB2312" w:cs="Times New Roman"/>
          <w:color w:val="000000" w:themeColor="text1"/>
          <w:sz w:val="32"/>
          <w:szCs w:val="32"/>
        </w:rPr>
        <w:t>2836</w:t>
      </w:r>
      <w:r>
        <w:rPr>
          <w:rFonts w:hint="eastAsia" w:ascii="仿宋_GB2312" w:hAnsi="Times New Roman" w:eastAsia="仿宋_GB2312" w:cs="Times New Roman"/>
          <w:color w:val="000000" w:themeColor="text1"/>
          <w:sz w:val="32"/>
          <w:szCs w:val="32"/>
        </w:rPr>
        <w:t>名。新增国家级绿色工厂</w:t>
      </w:r>
      <w:r>
        <w:rPr>
          <w:rFonts w:hint="eastAsia" w:ascii="Times New Roman" w:hAnsi="Times New Roman" w:eastAsia="仿宋_GB2312" w:cs="Times New Roman"/>
          <w:color w:val="000000" w:themeColor="text1"/>
          <w:sz w:val="32"/>
          <w:szCs w:val="32"/>
        </w:rPr>
        <w:t>3</w:t>
      </w:r>
      <w:r>
        <w:rPr>
          <w:rFonts w:hint="eastAsia" w:ascii="仿宋_GB2312" w:hAnsi="Times New Roman" w:eastAsia="仿宋_GB2312" w:cs="Times New Roman"/>
          <w:color w:val="000000" w:themeColor="text1"/>
          <w:sz w:val="32"/>
          <w:szCs w:val="32"/>
        </w:rPr>
        <w:t>个、省级示范智能车间</w:t>
      </w:r>
      <w:r>
        <w:rPr>
          <w:rFonts w:hint="eastAsia" w:ascii="Times New Roman" w:hAnsi="Times New Roman" w:eastAsia="仿宋_GB2312" w:cs="Times New Roman"/>
          <w:color w:val="000000" w:themeColor="text1"/>
          <w:sz w:val="32"/>
          <w:szCs w:val="32"/>
        </w:rPr>
        <w:t>18</w:t>
      </w:r>
      <w:r>
        <w:rPr>
          <w:rFonts w:hint="eastAsia" w:ascii="仿宋_GB2312" w:hAnsi="Times New Roman" w:eastAsia="仿宋_GB2312" w:cs="Times New Roman"/>
          <w:color w:val="000000" w:themeColor="text1"/>
          <w:sz w:val="32"/>
          <w:szCs w:val="32"/>
        </w:rPr>
        <w:t>个。质量工作获得国务院通报表彰。</w:t>
      </w:r>
    </w:p>
    <w:p>
      <w:pPr>
        <w:overflowPunct w:val="0"/>
        <w:spacing w:line="550" w:lineRule="exact"/>
        <w:ind w:firstLine="640" w:firstLineChars="200"/>
        <w:rPr>
          <w:rFonts w:ascii="仿宋_GB2312" w:hAnsi="Times New Roman" w:eastAsia="仿宋_GB2312" w:cs="Times New Roman"/>
          <w:color w:val="000000" w:themeColor="text1"/>
          <w:sz w:val="32"/>
          <w:szCs w:val="32"/>
        </w:rPr>
      </w:pPr>
      <w:r>
        <w:rPr>
          <w:rFonts w:hint="eastAsia" w:ascii="Times New Roman" w:hAnsi="Times New Roman" w:eastAsia="楷体_GB2312" w:cs="方正楷体_GBK"/>
          <w:color w:val="000000" w:themeColor="text1"/>
          <w:sz w:val="32"/>
          <w:szCs w:val="32"/>
        </w:rPr>
        <w:t>3</w:t>
      </w:r>
      <w:r>
        <w:rPr>
          <w:rFonts w:hint="eastAsia" w:ascii="楷体_GB2312" w:hAnsi="方正楷体_GBK" w:eastAsia="楷体_GB2312" w:cs="方正楷体_GBK"/>
          <w:color w:val="000000" w:themeColor="text1"/>
          <w:sz w:val="32"/>
          <w:szCs w:val="32"/>
        </w:rPr>
        <w:t>．项目建设难中求进。</w:t>
      </w:r>
      <w:r>
        <w:rPr>
          <w:rFonts w:hint="eastAsia" w:ascii="仿宋_GB2312" w:hAnsi="Times New Roman" w:eastAsia="仿宋_GB2312" w:cs="Times New Roman"/>
          <w:color w:val="000000" w:themeColor="text1"/>
          <w:sz w:val="32"/>
          <w:szCs w:val="32"/>
        </w:rPr>
        <w:t>深入开展“三比一提升”</w:t>
      </w:r>
      <w:r>
        <w:rPr>
          <w:rStyle w:val="13"/>
          <w:rFonts w:hint="eastAsia" w:ascii="仿宋_GB2312" w:hAnsi="Times New Roman" w:eastAsia="仿宋_GB2312" w:cs="Times New Roman"/>
          <w:color w:val="000000" w:themeColor="text1"/>
          <w:sz w:val="32"/>
          <w:szCs w:val="32"/>
        </w:rPr>
        <w:footnoteReference w:id="2"/>
      </w:r>
      <w:r>
        <w:rPr>
          <w:rFonts w:hint="eastAsia" w:ascii="仿宋_GB2312" w:hAnsi="Times New Roman" w:eastAsia="仿宋_GB2312" w:cs="Times New Roman"/>
          <w:color w:val="000000" w:themeColor="text1"/>
          <w:sz w:val="32"/>
          <w:szCs w:val="32"/>
        </w:rPr>
        <w:t>，落细落实项目“专班服务”，预计全年实际利用外资</w:t>
      </w:r>
      <w:r>
        <w:rPr>
          <w:rFonts w:hint="eastAsia" w:ascii="Times New Roman" w:hAnsi="Times New Roman" w:eastAsia="仿宋_GB2312" w:cs="Times New Roman"/>
          <w:color w:val="000000" w:themeColor="text1"/>
          <w:sz w:val="32"/>
          <w:szCs w:val="32"/>
        </w:rPr>
        <w:t>16</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5</w:t>
      </w:r>
      <w:r>
        <w:rPr>
          <w:rFonts w:hint="eastAsia" w:ascii="仿宋_GB2312" w:hAnsi="Times New Roman" w:eastAsia="仿宋_GB2312" w:cs="Times New Roman"/>
          <w:color w:val="000000" w:themeColor="text1"/>
          <w:sz w:val="32"/>
          <w:szCs w:val="32"/>
        </w:rPr>
        <w:t>亿美元，同比增长</w:t>
      </w:r>
      <w:r>
        <w:rPr>
          <w:rFonts w:hint="eastAsia" w:ascii="Times New Roman" w:hAnsi="Times New Roman" w:eastAsia="仿宋_GB2312" w:cs="Times New Roman"/>
          <w:color w:val="000000" w:themeColor="text1"/>
          <w:sz w:val="32"/>
          <w:szCs w:val="32"/>
        </w:rPr>
        <w:t>11%</w:t>
      </w:r>
      <w:r>
        <w:rPr>
          <w:rFonts w:hint="eastAsia" w:ascii="仿宋_GB2312" w:hAnsi="Times New Roman" w:eastAsia="仿宋_GB2312" w:cs="Times New Roman"/>
          <w:color w:val="000000" w:themeColor="text1"/>
          <w:sz w:val="32"/>
          <w:szCs w:val="32"/>
        </w:rPr>
        <w:t>；新开工</w:t>
      </w:r>
      <w:r>
        <w:rPr>
          <w:rFonts w:hint="eastAsia" w:ascii="Times New Roman" w:hAnsi="Times New Roman" w:eastAsia="仿宋_GB2312" w:cs="Times New Roman"/>
          <w:color w:val="000000" w:themeColor="text1"/>
          <w:sz w:val="32"/>
          <w:szCs w:val="32"/>
        </w:rPr>
        <w:t>5</w:t>
      </w:r>
      <w:r>
        <w:rPr>
          <w:rFonts w:hint="eastAsia" w:ascii="仿宋_GB2312" w:hAnsi="Times New Roman" w:eastAsia="仿宋_GB2312" w:cs="Times New Roman"/>
          <w:color w:val="000000" w:themeColor="text1"/>
          <w:sz w:val="32"/>
          <w:szCs w:val="32"/>
        </w:rPr>
        <w:t>亿元（</w:t>
      </w:r>
      <w:r>
        <w:rPr>
          <w:rFonts w:hint="eastAsia" w:ascii="Times New Roman" w:hAnsi="Times New Roman" w:eastAsia="仿宋_GB2312" w:cs="Times New Roman"/>
          <w:color w:val="000000" w:themeColor="text1"/>
          <w:sz w:val="32"/>
          <w:szCs w:val="32"/>
        </w:rPr>
        <w:t>3000</w:t>
      </w:r>
      <w:r>
        <w:rPr>
          <w:rFonts w:hint="eastAsia" w:ascii="仿宋_GB2312" w:hAnsi="Times New Roman" w:eastAsia="仿宋_GB2312" w:cs="Times New Roman"/>
          <w:color w:val="000000" w:themeColor="text1"/>
          <w:sz w:val="32"/>
          <w:szCs w:val="32"/>
        </w:rPr>
        <w:t>万美元）以上项目</w:t>
      </w:r>
      <w:r>
        <w:rPr>
          <w:rFonts w:hint="eastAsia" w:ascii="Times New Roman" w:hAnsi="Times New Roman" w:eastAsia="仿宋_GB2312" w:cs="Times New Roman"/>
          <w:color w:val="000000" w:themeColor="text1"/>
          <w:sz w:val="32"/>
          <w:szCs w:val="32"/>
        </w:rPr>
        <w:t>141</w:t>
      </w:r>
      <w:r>
        <w:rPr>
          <w:rFonts w:hint="eastAsia" w:ascii="仿宋_GB2312" w:hAnsi="Times New Roman" w:eastAsia="仿宋_GB2312" w:cs="Times New Roman"/>
          <w:color w:val="000000" w:themeColor="text1"/>
          <w:sz w:val="32"/>
          <w:szCs w:val="32"/>
        </w:rPr>
        <w:t>个，计划总投资</w:t>
      </w:r>
      <w:r>
        <w:rPr>
          <w:rFonts w:hint="eastAsia" w:ascii="Times New Roman" w:hAnsi="Times New Roman" w:eastAsia="仿宋_GB2312" w:cs="Times New Roman"/>
          <w:color w:val="000000" w:themeColor="text1"/>
          <w:sz w:val="32"/>
          <w:szCs w:val="32"/>
        </w:rPr>
        <w:t>1146</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9</w:t>
      </w:r>
      <w:r>
        <w:rPr>
          <w:rFonts w:hint="eastAsia" w:ascii="仿宋_GB2312" w:hAnsi="Times New Roman" w:eastAsia="仿宋_GB2312" w:cs="Times New Roman"/>
          <w:color w:val="000000" w:themeColor="text1"/>
          <w:sz w:val="32"/>
          <w:szCs w:val="32"/>
        </w:rPr>
        <w:t>亿元，年度计划投资</w:t>
      </w:r>
      <w:r>
        <w:rPr>
          <w:rFonts w:hint="eastAsia" w:ascii="Times New Roman" w:hAnsi="Times New Roman" w:eastAsia="仿宋_GB2312" w:cs="Times New Roman"/>
          <w:color w:val="000000" w:themeColor="text1"/>
          <w:sz w:val="32"/>
          <w:szCs w:val="32"/>
        </w:rPr>
        <w:t>362</w:t>
      </w:r>
      <w:r>
        <w:rPr>
          <w:rFonts w:hint="eastAsia" w:ascii="仿宋_GB2312" w:hAnsi="Times New Roman" w:eastAsia="仿宋_GB2312" w:cs="Times New Roman"/>
          <w:color w:val="000000" w:themeColor="text1"/>
          <w:sz w:val="32"/>
          <w:szCs w:val="32"/>
        </w:rPr>
        <w:t>亿元。其中，</w:t>
      </w:r>
      <w:r>
        <w:rPr>
          <w:rFonts w:hint="eastAsia" w:ascii="Times New Roman" w:hAnsi="Times New Roman" w:eastAsia="仿宋_GB2312" w:cs="Times New Roman"/>
          <w:color w:val="000000" w:themeColor="text1"/>
          <w:sz w:val="32"/>
          <w:szCs w:val="32"/>
        </w:rPr>
        <w:t>10</w:t>
      </w:r>
      <w:r>
        <w:rPr>
          <w:rFonts w:hint="eastAsia" w:ascii="仿宋_GB2312" w:hAnsi="Times New Roman" w:eastAsia="仿宋_GB2312" w:cs="Times New Roman"/>
          <w:color w:val="000000" w:themeColor="text1"/>
          <w:sz w:val="32"/>
          <w:szCs w:val="32"/>
        </w:rPr>
        <w:t>亿元以上项目</w:t>
      </w:r>
      <w:r>
        <w:rPr>
          <w:rFonts w:hint="eastAsia" w:ascii="Times New Roman" w:hAnsi="Times New Roman" w:eastAsia="仿宋_GB2312" w:cs="Times New Roman"/>
          <w:color w:val="000000" w:themeColor="text1"/>
          <w:sz w:val="32"/>
          <w:szCs w:val="32"/>
        </w:rPr>
        <w:t>27</w:t>
      </w:r>
      <w:r>
        <w:rPr>
          <w:rFonts w:hint="eastAsia" w:ascii="仿宋_GB2312" w:hAnsi="Times New Roman" w:eastAsia="仿宋_GB2312" w:cs="Times New Roman"/>
          <w:color w:val="000000" w:themeColor="text1"/>
          <w:sz w:val="32"/>
          <w:szCs w:val="32"/>
        </w:rPr>
        <w:t>个；</w:t>
      </w:r>
      <w:r>
        <w:rPr>
          <w:rFonts w:hint="eastAsia" w:ascii="Times New Roman" w:hAnsi="Times New Roman" w:eastAsia="仿宋_GB2312" w:cs="Times New Roman"/>
          <w:color w:val="000000" w:themeColor="text1"/>
          <w:sz w:val="32"/>
          <w:szCs w:val="32"/>
        </w:rPr>
        <w:t>5000</w:t>
      </w:r>
      <w:r>
        <w:rPr>
          <w:rFonts w:hint="eastAsia" w:ascii="仿宋_GB2312" w:hAnsi="Times New Roman" w:eastAsia="仿宋_GB2312" w:cs="Times New Roman"/>
          <w:color w:val="000000" w:themeColor="text1"/>
          <w:sz w:val="32"/>
          <w:szCs w:val="32"/>
        </w:rPr>
        <w:t>万元以上项目投资同比增长</w:t>
      </w:r>
      <w:r>
        <w:rPr>
          <w:rFonts w:hint="eastAsia" w:ascii="Times New Roman" w:hAnsi="Times New Roman" w:eastAsia="仿宋_GB2312" w:cs="Times New Roman"/>
          <w:color w:val="000000" w:themeColor="text1"/>
          <w:sz w:val="32"/>
          <w:szCs w:val="32"/>
        </w:rPr>
        <w:t>50%</w:t>
      </w:r>
      <w:r>
        <w:rPr>
          <w:rFonts w:hint="eastAsia" w:ascii="仿宋_GB2312" w:hAnsi="Times New Roman" w:eastAsia="仿宋_GB2312" w:cs="Times New Roman"/>
          <w:color w:val="000000" w:themeColor="text1"/>
          <w:sz w:val="32"/>
          <w:szCs w:val="32"/>
        </w:rPr>
        <w:t>以上。总投资</w:t>
      </w:r>
      <w:r>
        <w:rPr>
          <w:rFonts w:hint="eastAsia" w:ascii="Times New Roman" w:hAnsi="Times New Roman" w:eastAsia="仿宋_GB2312" w:cs="Times New Roman"/>
          <w:color w:val="000000" w:themeColor="text1"/>
          <w:sz w:val="32"/>
          <w:szCs w:val="32"/>
        </w:rPr>
        <w:t>180</w:t>
      </w:r>
      <w:r>
        <w:rPr>
          <w:rFonts w:hint="eastAsia" w:ascii="仿宋_GB2312" w:hAnsi="Times New Roman" w:eastAsia="仿宋_GB2312" w:cs="Times New Roman"/>
          <w:color w:val="000000" w:themeColor="text1"/>
          <w:sz w:val="32"/>
          <w:szCs w:val="32"/>
        </w:rPr>
        <w:t>亿元的中海油高端聚烯烃项目成功落户，总投资</w:t>
      </w:r>
      <w:r>
        <w:rPr>
          <w:rFonts w:hint="eastAsia" w:ascii="Times New Roman" w:hAnsi="Times New Roman" w:eastAsia="仿宋_GB2312" w:cs="Times New Roman"/>
          <w:color w:val="000000" w:themeColor="text1"/>
          <w:sz w:val="32"/>
          <w:szCs w:val="32"/>
        </w:rPr>
        <w:t>80</w:t>
      </w:r>
      <w:r>
        <w:rPr>
          <w:rFonts w:hint="eastAsia" w:ascii="仿宋_GB2312" w:hAnsi="Times New Roman" w:eastAsia="仿宋_GB2312" w:cs="Times New Roman"/>
          <w:color w:val="000000" w:themeColor="text1"/>
          <w:sz w:val="32"/>
          <w:szCs w:val="32"/>
        </w:rPr>
        <w:t>亿元的长城整车制造项目竣工投产，药明康德等</w:t>
      </w:r>
      <w:r>
        <w:rPr>
          <w:rFonts w:hint="eastAsia" w:ascii="Times New Roman" w:hAnsi="Times New Roman" w:eastAsia="仿宋_GB2312" w:cs="Times New Roman"/>
          <w:color w:val="000000" w:themeColor="text1"/>
          <w:sz w:val="32"/>
          <w:szCs w:val="32"/>
        </w:rPr>
        <w:t>12</w:t>
      </w:r>
      <w:r>
        <w:rPr>
          <w:rFonts w:hint="eastAsia" w:ascii="仿宋_GB2312" w:hAnsi="Times New Roman" w:eastAsia="仿宋_GB2312" w:cs="Times New Roman"/>
          <w:color w:val="000000" w:themeColor="text1"/>
          <w:sz w:val="32"/>
          <w:szCs w:val="32"/>
        </w:rPr>
        <w:t>个省级重大项目完成投资</w:t>
      </w:r>
      <w:r>
        <w:rPr>
          <w:rFonts w:hint="eastAsia" w:ascii="Times New Roman" w:hAnsi="Times New Roman" w:eastAsia="仿宋_GB2312" w:cs="Times New Roman"/>
          <w:color w:val="000000" w:themeColor="text1"/>
          <w:sz w:val="32"/>
          <w:szCs w:val="32"/>
        </w:rPr>
        <w:t>119</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rPr>
        <w:t>亿元，完成年度计划的</w:t>
      </w:r>
      <w:r>
        <w:rPr>
          <w:rFonts w:hint="eastAsia" w:ascii="Times New Roman" w:hAnsi="Times New Roman" w:eastAsia="仿宋_GB2312" w:cs="Times New Roman"/>
          <w:color w:val="000000" w:themeColor="text1"/>
          <w:sz w:val="32"/>
          <w:szCs w:val="32"/>
        </w:rPr>
        <w:t>111</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7%</w:t>
      </w:r>
      <w:r>
        <w:rPr>
          <w:rFonts w:hint="eastAsia" w:ascii="仿宋_GB2312" w:hAnsi="Times New Roman" w:eastAsia="仿宋_GB2312" w:cs="Times New Roman"/>
          <w:color w:val="000000" w:themeColor="text1"/>
          <w:sz w:val="32"/>
          <w:szCs w:val="32"/>
        </w:rPr>
        <w:t>。加快推进城建和基础设施项目建设，</w:t>
      </w:r>
      <w:r>
        <w:rPr>
          <w:rFonts w:hint="eastAsia" w:ascii="Times New Roman" w:hAnsi="Times New Roman" w:eastAsia="仿宋_GB2312" w:cs="Times New Roman"/>
          <w:color w:val="000000" w:themeColor="text1"/>
          <w:sz w:val="32"/>
          <w:szCs w:val="32"/>
        </w:rPr>
        <w:t>10</w:t>
      </w:r>
      <w:r>
        <w:rPr>
          <w:rFonts w:hint="eastAsia" w:ascii="仿宋_GB2312" w:hAnsi="Times New Roman" w:eastAsia="仿宋_GB2312" w:cs="Times New Roman"/>
          <w:color w:val="000000" w:themeColor="text1"/>
          <w:sz w:val="32"/>
          <w:szCs w:val="32"/>
        </w:rPr>
        <w:t>大类</w:t>
      </w:r>
      <w:r>
        <w:rPr>
          <w:rFonts w:hint="eastAsia" w:ascii="Times New Roman" w:hAnsi="Times New Roman" w:eastAsia="仿宋_GB2312" w:cs="Times New Roman"/>
          <w:color w:val="000000" w:themeColor="text1"/>
          <w:sz w:val="32"/>
          <w:szCs w:val="32"/>
        </w:rPr>
        <w:t>23</w:t>
      </w:r>
      <w:r>
        <w:rPr>
          <w:rFonts w:hint="eastAsia" w:ascii="仿宋_GB2312" w:hAnsi="Times New Roman" w:eastAsia="仿宋_GB2312" w:cs="Times New Roman"/>
          <w:color w:val="000000" w:themeColor="text1"/>
          <w:sz w:val="32"/>
          <w:szCs w:val="32"/>
        </w:rPr>
        <w:t>项市区改善民生实事项目进展顺利(具体见附录</w:t>
      </w:r>
      <w:r>
        <w:rPr>
          <w:rFonts w:hint="eastAsia" w:ascii="Times New Roman"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rPr>
        <w:t>）。市体育公园等省运会场馆有序推进，完成老旧小区综合整治</w:t>
      </w:r>
      <w:r>
        <w:rPr>
          <w:rFonts w:hint="eastAsia" w:ascii="Times New Roman" w:hAnsi="Times New Roman" w:eastAsia="仿宋_GB2312" w:cs="Times New Roman"/>
          <w:color w:val="000000" w:themeColor="text1"/>
          <w:sz w:val="32"/>
          <w:szCs w:val="32"/>
        </w:rPr>
        <w:t>46</w:t>
      </w:r>
      <w:r>
        <w:rPr>
          <w:rFonts w:hint="eastAsia" w:ascii="仿宋_GB2312" w:hAnsi="Times New Roman" w:eastAsia="仿宋_GB2312" w:cs="Times New Roman"/>
          <w:color w:val="000000" w:themeColor="text1"/>
          <w:sz w:val="32"/>
          <w:szCs w:val="32"/>
        </w:rPr>
        <w:t>个,“好巴士</w:t>
      </w:r>
      <w:r>
        <w:rPr>
          <w:rFonts w:hint="eastAsia" w:ascii="Times New Roman" w:hAnsi="Times New Roman" w:eastAsia="仿宋_GB2312" w:cs="Times New Roman"/>
          <w:color w:val="000000" w:themeColor="text1"/>
          <w:sz w:val="32"/>
          <w:szCs w:val="32"/>
        </w:rPr>
        <w:t>1</w:t>
      </w:r>
      <w:r>
        <w:rPr>
          <w:rFonts w:hint="eastAsia" w:ascii="仿宋_GB2312" w:hAnsi="Times New Roman" w:eastAsia="仿宋_GB2312" w:cs="Times New Roman"/>
          <w:color w:val="000000" w:themeColor="text1"/>
          <w:sz w:val="32"/>
          <w:szCs w:val="32"/>
        </w:rPr>
        <w:t>号线”</w:t>
      </w:r>
      <w:r>
        <w:rPr>
          <w:rStyle w:val="13"/>
          <w:rFonts w:hint="eastAsia" w:ascii="仿宋_GB2312" w:hAnsi="Times New Roman" w:eastAsia="仿宋_GB2312" w:cs="Times New Roman"/>
          <w:color w:val="000000" w:themeColor="text1"/>
          <w:sz w:val="32"/>
          <w:szCs w:val="32"/>
        </w:rPr>
        <w:footnoteReference w:id="3"/>
      </w:r>
      <w:r>
        <w:rPr>
          <w:rFonts w:hint="eastAsia" w:ascii="仿宋_GB2312" w:hAnsi="Times New Roman" w:eastAsia="仿宋_GB2312" w:cs="Times New Roman"/>
          <w:color w:val="000000" w:themeColor="text1"/>
          <w:sz w:val="32"/>
          <w:szCs w:val="32"/>
        </w:rPr>
        <w:t>建成运行。常泰长江大桥工程建设有序推进，江阴靖江长江隧道、阜溧高速建兴段、沪陕高速平广段改扩建、常泰长江大桥北接线等重大工程开工建设，北沿江高铁控制性工程正式启动，站前路、东环高架北延快速化工程建成通车。泰州港货物吞吐量突破</w:t>
      </w:r>
      <w:r>
        <w:rPr>
          <w:rFonts w:hint="eastAsia" w:ascii="Times New Roman" w:hAnsi="Times New Roman" w:eastAsia="仿宋_GB2312" w:cs="Times New Roman"/>
          <w:color w:val="000000" w:themeColor="text1"/>
          <w:sz w:val="32"/>
          <w:szCs w:val="32"/>
        </w:rPr>
        <w:t>3</w:t>
      </w:r>
      <w:r>
        <w:rPr>
          <w:rFonts w:hint="eastAsia" w:ascii="仿宋_GB2312" w:hAnsi="Times New Roman" w:eastAsia="仿宋_GB2312" w:cs="Times New Roman"/>
          <w:color w:val="000000" w:themeColor="text1"/>
          <w:sz w:val="32"/>
          <w:szCs w:val="32"/>
        </w:rPr>
        <w:t>亿吨。</w:t>
      </w:r>
    </w:p>
    <w:p>
      <w:pPr>
        <w:overflowPunct w:val="0"/>
        <w:spacing w:line="550" w:lineRule="exact"/>
        <w:ind w:firstLine="640" w:firstLineChars="200"/>
        <w:rPr>
          <w:rFonts w:ascii="仿宋_GB2312" w:hAnsi="Times New Roman" w:eastAsia="仿宋_GB2312" w:cs="Times New Roman"/>
          <w:color w:val="000000" w:themeColor="text1"/>
          <w:sz w:val="32"/>
          <w:szCs w:val="32"/>
        </w:rPr>
      </w:pPr>
      <w:r>
        <w:rPr>
          <w:rFonts w:hint="eastAsia" w:ascii="Times New Roman" w:hAnsi="Times New Roman" w:eastAsia="楷体_GB2312" w:cs="方正楷体_GBK"/>
          <w:color w:val="000000" w:themeColor="text1"/>
          <w:sz w:val="32"/>
          <w:szCs w:val="32"/>
        </w:rPr>
        <w:t>4</w:t>
      </w:r>
      <w:r>
        <w:rPr>
          <w:rFonts w:hint="eastAsia" w:ascii="楷体_GB2312" w:hAnsi="方正楷体_GBK" w:eastAsia="楷体_GB2312" w:cs="方正楷体_GBK"/>
          <w:color w:val="000000" w:themeColor="text1"/>
          <w:sz w:val="32"/>
          <w:szCs w:val="32"/>
        </w:rPr>
        <w:t>．改革开放深入推进。</w:t>
      </w:r>
      <w:r>
        <w:rPr>
          <w:rFonts w:hint="eastAsia" w:ascii="仿宋_GB2312" w:hAnsi="Times New Roman" w:eastAsia="仿宋_GB2312" w:cs="Times New Roman"/>
          <w:color w:val="000000" w:themeColor="text1"/>
          <w:sz w:val="32"/>
          <w:szCs w:val="32"/>
        </w:rPr>
        <w:t>“放管服”改革持续推进，全面实施“网上办”“就近办”“容缺办”“不见面办”，外商投资企业开办</w:t>
      </w:r>
      <w:r>
        <w:rPr>
          <w:rFonts w:hint="eastAsia" w:ascii="Times New Roman" w:hAnsi="Times New Roman" w:eastAsia="仿宋_GB2312" w:cs="Times New Roman"/>
          <w:color w:val="000000" w:themeColor="text1"/>
          <w:sz w:val="32"/>
          <w:szCs w:val="32"/>
        </w:rPr>
        <w:t>3</w:t>
      </w:r>
      <w:r>
        <w:rPr>
          <w:rFonts w:hint="eastAsia" w:ascii="仿宋_GB2312" w:hAnsi="Times New Roman" w:eastAsia="仿宋_GB2312" w:cs="Times New Roman"/>
          <w:color w:val="000000" w:themeColor="text1"/>
          <w:sz w:val="32"/>
          <w:szCs w:val="32"/>
        </w:rPr>
        <w:t>个工作日内办结、项目建设流程审批时间缩短</w:t>
      </w:r>
      <w:r>
        <w:rPr>
          <w:rFonts w:hint="eastAsia" w:ascii="Times New Roman"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3</w:t>
      </w:r>
      <w:r>
        <w:rPr>
          <w:rFonts w:hint="eastAsia" w:ascii="仿宋_GB2312" w:hAnsi="Times New Roman" w:eastAsia="仿宋_GB2312" w:cs="Times New Roman"/>
          <w:color w:val="000000" w:themeColor="text1"/>
          <w:sz w:val="32"/>
          <w:szCs w:val="32"/>
        </w:rPr>
        <w:t>以上。金融改革成效明显，举办“凤城合伙人”创投峰会，江苏股交中心泰州分中心正式落户，新增上市过会企业</w:t>
      </w:r>
      <w:r>
        <w:rPr>
          <w:rFonts w:hint="eastAsia" w:ascii="Times New Roman" w:hAnsi="Times New Roman" w:eastAsia="仿宋_GB2312" w:cs="Times New Roman"/>
          <w:color w:val="000000" w:themeColor="text1"/>
          <w:sz w:val="32"/>
          <w:szCs w:val="32"/>
        </w:rPr>
        <w:t>4</w:t>
      </w:r>
      <w:r>
        <w:rPr>
          <w:rFonts w:hint="eastAsia" w:ascii="仿宋_GB2312" w:hAnsi="Times New Roman" w:eastAsia="仿宋_GB2312" w:cs="Times New Roman"/>
          <w:color w:val="000000" w:themeColor="text1"/>
          <w:sz w:val="32"/>
          <w:szCs w:val="32"/>
        </w:rPr>
        <w:t>家，普惠金融考核居全省前列。国资国企改革有序推进，市属国企资产总额</w:t>
      </w:r>
      <w:r>
        <w:rPr>
          <w:rFonts w:hint="eastAsia" w:ascii="Times New Roman" w:hAnsi="Times New Roman" w:eastAsia="仿宋_GB2312" w:cs="Times New Roman"/>
          <w:color w:val="000000" w:themeColor="text1"/>
          <w:sz w:val="32"/>
          <w:szCs w:val="32"/>
        </w:rPr>
        <w:t>3952</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8</w:t>
      </w:r>
      <w:r>
        <w:rPr>
          <w:rFonts w:hint="eastAsia" w:ascii="仿宋_GB2312" w:hAnsi="Times New Roman" w:eastAsia="仿宋_GB2312" w:cs="Times New Roman"/>
          <w:color w:val="000000" w:themeColor="text1"/>
          <w:sz w:val="32"/>
          <w:szCs w:val="32"/>
        </w:rPr>
        <w:t>亿元，营业收入</w:t>
      </w:r>
      <w:r>
        <w:rPr>
          <w:rFonts w:hint="eastAsia" w:ascii="Times New Roman" w:hAnsi="Times New Roman" w:eastAsia="仿宋_GB2312" w:cs="Times New Roman"/>
          <w:color w:val="000000" w:themeColor="text1"/>
          <w:sz w:val="32"/>
          <w:szCs w:val="32"/>
        </w:rPr>
        <w:t>219</w:t>
      </w:r>
      <w:r>
        <w:rPr>
          <w:rFonts w:hint="eastAsia" w:ascii="仿宋_GB2312" w:hAnsi="Times New Roman" w:eastAsia="仿宋_GB2312" w:cs="Times New Roman"/>
          <w:color w:val="000000" w:themeColor="text1"/>
          <w:sz w:val="32"/>
          <w:szCs w:val="32"/>
        </w:rPr>
        <w:t>亿元，同比分别增长</w:t>
      </w:r>
      <w:r>
        <w:rPr>
          <w:rFonts w:hint="eastAsia" w:ascii="Times New Roman" w:hAnsi="Times New Roman" w:eastAsia="仿宋_GB2312" w:cs="Times New Roman"/>
          <w:color w:val="000000" w:themeColor="text1"/>
          <w:sz w:val="32"/>
          <w:szCs w:val="32"/>
        </w:rPr>
        <w:t>15</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3%</w:t>
      </w:r>
      <w:r>
        <w:rPr>
          <w:rFonts w:hint="eastAsia" w:ascii="仿宋_GB2312" w:hAnsi="Times New Roman" w:eastAsia="仿宋_GB2312" w:cs="Times New Roman"/>
          <w:color w:val="000000" w:themeColor="text1"/>
          <w:sz w:val="32"/>
          <w:szCs w:val="32"/>
        </w:rPr>
        <w:t>和</w:t>
      </w:r>
      <w:r>
        <w:rPr>
          <w:rFonts w:hint="eastAsia" w:ascii="Times New Roman" w:hAnsi="Times New Roman" w:eastAsia="仿宋_GB2312" w:cs="Times New Roman"/>
          <w:color w:val="000000" w:themeColor="text1"/>
          <w:sz w:val="32"/>
          <w:szCs w:val="32"/>
        </w:rPr>
        <w:t>55</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9%</w:t>
      </w:r>
      <w:r>
        <w:rPr>
          <w:rFonts w:hint="eastAsia" w:ascii="仿宋_GB2312" w:hAnsi="Times New Roman" w:eastAsia="仿宋_GB2312" w:cs="Times New Roman"/>
          <w:color w:val="000000" w:themeColor="text1"/>
          <w:sz w:val="32"/>
          <w:szCs w:val="32"/>
        </w:rPr>
        <w:t>。营商环境持续改善，编制落实《</w:t>
      </w:r>
      <w:r>
        <w:rPr>
          <w:rFonts w:hint="eastAsia" w:ascii="Times New Roman" w:hAnsi="Times New Roman" w:eastAsia="仿宋_GB2312" w:cs="Times New Roman"/>
          <w:color w:val="000000" w:themeColor="text1"/>
          <w:sz w:val="32"/>
          <w:szCs w:val="32"/>
        </w:rPr>
        <w:t>2020</w:t>
      </w:r>
      <w:r>
        <w:rPr>
          <w:rFonts w:hint="eastAsia" w:ascii="仿宋_GB2312" w:hAnsi="Times New Roman" w:eastAsia="仿宋_GB2312" w:cs="Times New Roman"/>
          <w:color w:val="000000" w:themeColor="text1"/>
          <w:sz w:val="32"/>
          <w:szCs w:val="32"/>
        </w:rPr>
        <w:t>年全市优化营商环境重点任务清单》，成立营商环境“啄木鸟”志愿团，推行工业企业服务专员制度，举办企业家座谈会、早茶峰会。惠企减负政策全面落实，累计减免税费</w:t>
      </w:r>
      <w:r>
        <w:rPr>
          <w:rFonts w:hint="eastAsia" w:ascii="Times New Roman" w:hAnsi="Times New Roman" w:eastAsia="仿宋_GB2312" w:cs="Times New Roman"/>
          <w:color w:val="000000" w:themeColor="text1"/>
          <w:sz w:val="32"/>
          <w:szCs w:val="32"/>
        </w:rPr>
        <w:t>145</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9</w:t>
      </w:r>
      <w:r>
        <w:rPr>
          <w:rFonts w:hint="eastAsia" w:ascii="仿宋_GB2312" w:hAnsi="Times New Roman" w:eastAsia="仿宋_GB2312" w:cs="Times New Roman"/>
          <w:color w:val="000000" w:themeColor="text1"/>
          <w:sz w:val="32"/>
          <w:szCs w:val="32"/>
        </w:rPr>
        <w:t>亿元，发放稳岗返还补贴</w:t>
      </w:r>
      <w:r>
        <w:rPr>
          <w:rFonts w:hint="eastAsia" w:ascii="Times New Roman" w:hAnsi="Times New Roman" w:eastAsia="仿宋_GB2312" w:cs="Times New Roman"/>
          <w:color w:val="000000" w:themeColor="text1"/>
          <w:sz w:val="32"/>
          <w:szCs w:val="32"/>
        </w:rPr>
        <w:t>3</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1</w:t>
      </w:r>
      <w:r>
        <w:rPr>
          <w:rFonts w:hint="eastAsia" w:ascii="仿宋_GB2312" w:hAnsi="Times New Roman" w:eastAsia="仿宋_GB2312" w:cs="Times New Roman"/>
          <w:color w:val="000000" w:themeColor="text1"/>
          <w:sz w:val="32"/>
          <w:szCs w:val="32"/>
        </w:rPr>
        <w:t>亿元。开发园区改革全面加速，“两集中三剥离”</w:t>
      </w:r>
      <w:r>
        <w:rPr>
          <w:rStyle w:val="13"/>
          <w:rFonts w:hint="eastAsia" w:ascii="仿宋_GB2312" w:hAnsi="Times New Roman" w:eastAsia="仿宋_GB2312" w:cs="Times New Roman"/>
          <w:color w:val="000000" w:themeColor="text1"/>
          <w:sz w:val="32"/>
          <w:szCs w:val="32"/>
        </w:rPr>
        <w:footnoteReference w:id="4"/>
      </w:r>
      <w:r>
        <w:rPr>
          <w:rFonts w:hint="eastAsia" w:ascii="仿宋_GB2312" w:hAnsi="Times New Roman" w:eastAsia="仿宋_GB2312" w:cs="Times New Roman"/>
          <w:color w:val="000000" w:themeColor="text1"/>
          <w:sz w:val="32"/>
          <w:szCs w:val="32"/>
        </w:rPr>
        <w:t>基本完成，</w:t>
      </w:r>
      <w:r>
        <w:rPr>
          <w:rFonts w:hint="eastAsia" w:ascii="Times New Roman" w:hAnsi="Times New Roman" w:eastAsia="仿宋_GB2312" w:cs="Times New Roman"/>
          <w:color w:val="000000" w:themeColor="text1"/>
          <w:sz w:val="32"/>
          <w:szCs w:val="32"/>
        </w:rPr>
        <w:t>13</w:t>
      </w:r>
      <w:r>
        <w:rPr>
          <w:rFonts w:hint="eastAsia" w:ascii="仿宋_GB2312" w:hAnsi="Times New Roman" w:eastAsia="仿宋_GB2312" w:cs="Times New Roman"/>
          <w:color w:val="000000" w:themeColor="text1"/>
          <w:sz w:val="32"/>
          <w:szCs w:val="32"/>
        </w:rPr>
        <w:t>个改革园区的机构、员额数分别精简</w:t>
      </w:r>
      <w:r>
        <w:rPr>
          <w:rFonts w:hint="eastAsia" w:ascii="Times New Roman" w:hAnsi="Times New Roman" w:eastAsia="仿宋_GB2312" w:cs="Times New Roman"/>
          <w:color w:val="000000" w:themeColor="text1"/>
          <w:sz w:val="32"/>
          <w:szCs w:val="32"/>
        </w:rPr>
        <w:t>20</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7%</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27</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rPr>
        <w:t>，非经济岗位人员降至</w:t>
      </w:r>
      <w:r>
        <w:rPr>
          <w:rFonts w:hint="eastAsia" w:ascii="Times New Roman" w:hAnsi="Times New Roman" w:eastAsia="仿宋_GB2312" w:cs="Times New Roman"/>
          <w:color w:val="000000" w:themeColor="text1"/>
          <w:sz w:val="32"/>
          <w:szCs w:val="32"/>
        </w:rPr>
        <w:t>20%</w:t>
      </w:r>
      <w:r>
        <w:rPr>
          <w:rFonts w:hint="eastAsia" w:ascii="仿宋_GB2312" w:hAnsi="Times New Roman" w:eastAsia="仿宋_GB2312" w:cs="Times New Roman"/>
          <w:color w:val="000000" w:themeColor="text1"/>
          <w:sz w:val="32"/>
          <w:szCs w:val="32"/>
        </w:rPr>
        <w:t>以下。跨境贸易便利化进一步提升，两步申报实现全覆盖，进出口无纸化通关比例达</w:t>
      </w:r>
      <w:r>
        <w:rPr>
          <w:rFonts w:hint="eastAsia" w:ascii="Times New Roman" w:hAnsi="Times New Roman" w:eastAsia="仿宋_GB2312" w:cs="Times New Roman"/>
          <w:color w:val="000000" w:themeColor="text1"/>
          <w:sz w:val="32"/>
          <w:szCs w:val="32"/>
        </w:rPr>
        <w:t>99%</w:t>
      </w:r>
      <w:r>
        <w:rPr>
          <w:rFonts w:hint="eastAsia" w:ascii="仿宋_GB2312" w:hAnsi="Times New Roman" w:eastAsia="仿宋_GB2312" w:cs="Times New Roman"/>
          <w:color w:val="000000" w:themeColor="text1"/>
          <w:sz w:val="32"/>
          <w:szCs w:val="32"/>
        </w:rPr>
        <w:t>。</w:t>
      </w:r>
    </w:p>
    <w:p>
      <w:pPr>
        <w:overflowPunct w:val="0"/>
        <w:spacing w:line="550" w:lineRule="exact"/>
        <w:ind w:firstLine="640" w:firstLineChars="200"/>
        <w:rPr>
          <w:rFonts w:ascii="仿宋_GB2312" w:hAnsi="Times New Roman" w:eastAsia="仿宋_GB2312" w:cs="Times New Roman"/>
          <w:color w:val="000000" w:themeColor="text1"/>
          <w:sz w:val="32"/>
          <w:szCs w:val="32"/>
        </w:rPr>
      </w:pPr>
      <w:r>
        <w:rPr>
          <w:rFonts w:hint="eastAsia" w:ascii="Times New Roman" w:hAnsi="Times New Roman" w:eastAsia="楷体_GB2312" w:cs="方正楷体_GBK"/>
          <w:color w:val="000000" w:themeColor="text1"/>
          <w:sz w:val="32"/>
          <w:szCs w:val="32"/>
        </w:rPr>
        <w:t>5</w:t>
      </w:r>
      <w:r>
        <w:rPr>
          <w:rFonts w:hint="eastAsia" w:ascii="楷体_GB2312" w:hAnsi="方正楷体_GBK" w:eastAsia="楷体_GB2312" w:cs="方正楷体_GBK"/>
          <w:color w:val="000000" w:themeColor="text1"/>
          <w:sz w:val="32"/>
          <w:szCs w:val="32"/>
        </w:rPr>
        <w:t>．生态环境持续改善。</w:t>
      </w:r>
      <w:r>
        <w:rPr>
          <w:rFonts w:hint="eastAsia" w:ascii="仿宋_GB2312" w:hAnsi="Calibri" w:eastAsia="仿宋_GB2312"/>
          <w:color w:val="000000" w:themeColor="text1"/>
          <w:sz w:val="32"/>
          <w:szCs w:val="32"/>
        </w:rPr>
        <w:t>落实《沿江地区生态保护和空间利用专项规划》《沿江“一张图”规划》，严格管控岸线资源，完成长江干流岸线清理整治任务</w:t>
      </w:r>
      <w:r>
        <w:rPr>
          <w:rFonts w:hint="eastAsia" w:ascii="Times New Roman" w:hAnsi="Times New Roman" w:eastAsia="仿宋_GB2312"/>
          <w:color w:val="000000" w:themeColor="text1"/>
          <w:sz w:val="32"/>
          <w:szCs w:val="32"/>
        </w:rPr>
        <w:t>63</w:t>
      </w:r>
      <w:r>
        <w:rPr>
          <w:rFonts w:hint="eastAsia" w:ascii="仿宋_GB2312" w:hAnsi="Calibri" w:eastAsia="仿宋_GB2312"/>
          <w:color w:val="000000" w:themeColor="text1"/>
          <w:sz w:val="32"/>
          <w:szCs w:val="32"/>
        </w:rPr>
        <w:t>项,关闭退出化工企业</w:t>
      </w:r>
      <w:r>
        <w:rPr>
          <w:rFonts w:hint="eastAsia" w:ascii="Times New Roman" w:hAnsi="Times New Roman" w:eastAsia="仿宋_GB2312"/>
          <w:color w:val="000000" w:themeColor="text1"/>
          <w:sz w:val="32"/>
          <w:szCs w:val="32"/>
        </w:rPr>
        <w:t>34</w:t>
      </w:r>
      <w:r>
        <w:rPr>
          <w:rFonts w:hint="eastAsia" w:ascii="仿宋_GB2312" w:hAnsi="Calibri" w:eastAsia="仿宋_GB2312"/>
          <w:color w:val="000000" w:themeColor="text1"/>
          <w:sz w:val="32"/>
          <w:szCs w:val="32"/>
        </w:rPr>
        <w:t>家。加大环保督察问题整改力度，国家和省警示片涉及我市问题整改销号率</w:t>
      </w:r>
      <w:r>
        <w:rPr>
          <w:rFonts w:hint="eastAsia" w:ascii="Times New Roman" w:hAnsi="Times New Roman" w:eastAsia="仿宋_GB2312"/>
          <w:color w:val="000000" w:themeColor="text1"/>
          <w:sz w:val="32"/>
          <w:szCs w:val="32"/>
        </w:rPr>
        <w:t>100%</w:t>
      </w:r>
      <w:r>
        <w:rPr>
          <w:rFonts w:hint="eastAsia" w:ascii="仿宋_GB2312" w:hAnsi="Calibri" w:eastAsia="仿宋_GB2312"/>
          <w:color w:val="000000" w:themeColor="text1"/>
          <w:sz w:val="32"/>
          <w:szCs w:val="32"/>
        </w:rPr>
        <w:t>。长江禁捕退捕工作走在全省前列，率先实现渔船渔民退捕率、退捕渔民就业率、退捕渔民进保率“三个</w:t>
      </w:r>
      <w:r>
        <w:rPr>
          <w:rFonts w:hint="eastAsia" w:ascii="Times New Roman" w:hAnsi="Times New Roman" w:eastAsia="仿宋_GB2312"/>
          <w:color w:val="000000" w:themeColor="text1"/>
          <w:sz w:val="32"/>
          <w:szCs w:val="32"/>
        </w:rPr>
        <w:t>100%</w:t>
      </w:r>
      <w:r>
        <w:rPr>
          <w:rFonts w:hint="eastAsia" w:ascii="仿宋_GB2312" w:hAnsi="Calibri" w:eastAsia="仿宋_GB2312"/>
          <w:color w:val="000000" w:themeColor="text1"/>
          <w:sz w:val="32"/>
          <w:szCs w:val="32"/>
        </w:rPr>
        <w:t>”。强化生态红线保护，生态空间保护区域面积占比达</w:t>
      </w:r>
      <w:r>
        <w:rPr>
          <w:rFonts w:hint="eastAsia" w:ascii="Times New Roman" w:hAnsi="Times New Roman" w:eastAsia="仿宋_GB2312"/>
          <w:color w:val="000000" w:themeColor="text1"/>
          <w:sz w:val="32"/>
          <w:szCs w:val="32"/>
        </w:rPr>
        <w:t>27</w:t>
      </w:r>
      <w:r>
        <w:rPr>
          <w:rFonts w:hint="eastAsia" w:ascii="仿宋_GB2312" w:hAnsi="Calibri" w:eastAsia="仿宋_GB2312"/>
          <w:color w:val="000000" w:themeColor="text1"/>
          <w:sz w:val="32"/>
          <w:szCs w:val="32"/>
        </w:rPr>
        <w:t>.</w:t>
      </w:r>
      <w:r>
        <w:rPr>
          <w:rFonts w:hint="eastAsia" w:ascii="Times New Roman" w:hAnsi="Times New Roman" w:eastAsia="仿宋_GB2312"/>
          <w:color w:val="000000" w:themeColor="text1"/>
          <w:sz w:val="32"/>
          <w:szCs w:val="32"/>
        </w:rPr>
        <w:t>3%</w:t>
      </w:r>
      <w:r>
        <w:rPr>
          <w:rFonts w:hint="eastAsia" w:ascii="仿宋_GB2312" w:hAnsi="Calibri" w:eastAsia="仿宋_GB2312"/>
          <w:color w:val="000000" w:themeColor="text1"/>
          <w:sz w:val="32"/>
          <w:szCs w:val="32"/>
        </w:rPr>
        <w:t>。危废集中处置能力提高到</w:t>
      </w:r>
      <w:r>
        <w:rPr>
          <w:rFonts w:hint="eastAsia" w:ascii="Times New Roman" w:hAnsi="Times New Roman" w:eastAsia="仿宋_GB2312"/>
          <w:color w:val="000000" w:themeColor="text1"/>
          <w:sz w:val="32"/>
          <w:szCs w:val="32"/>
        </w:rPr>
        <w:t>14</w:t>
      </w:r>
      <w:r>
        <w:rPr>
          <w:rFonts w:hint="eastAsia" w:ascii="仿宋_GB2312" w:hAnsi="Calibri" w:eastAsia="仿宋_GB2312"/>
          <w:color w:val="000000" w:themeColor="text1"/>
          <w:sz w:val="32"/>
          <w:szCs w:val="32"/>
        </w:rPr>
        <w:t>.</w:t>
      </w:r>
      <w:r>
        <w:rPr>
          <w:rFonts w:hint="eastAsia" w:ascii="Times New Roman" w:hAnsi="Times New Roman" w:eastAsia="仿宋_GB2312"/>
          <w:color w:val="000000" w:themeColor="text1"/>
          <w:sz w:val="32"/>
          <w:szCs w:val="32"/>
        </w:rPr>
        <w:t>3</w:t>
      </w:r>
      <w:r>
        <w:rPr>
          <w:rFonts w:hint="eastAsia" w:ascii="仿宋_GB2312" w:hAnsi="Calibri" w:eastAsia="仿宋_GB2312"/>
          <w:color w:val="000000" w:themeColor="text1"/>
          <w:sz w:val="32"/>
          <w:szCs w:val="32"/>
        </w:rPr>
        <w:t>万吨/年。生态环境质量持续好转，</w:t>
      </w:r>
      <w:r>
        <w:rPr>
          <w:rFonts w:hint="eastAsia" w:ascii="仿宋_GB2312" w:hAnsi="Times New Roman" w:eastAsia="仿宋_GB2312" w:cs="Times New Roman"/>
          <w:color w:val="000000" w:themeColor="text1"/>
          <w:sz w:val="32"/>
          <w:szCs w:val="32"/>
        </w:rPr>
        <w:t>省考及以上断面优于Ⅲ类水质比例达</w:t>
      </w:r>
      <w:r>
        <w:rPr>
          <w:rFonts w:hint="eastAsia" w:ascii="Times New Roman" w:hAnsi="Times New Roman" w:eastAsia="仿宋_GB2312" w:cs="Times New Roman"/>
          <w:color w:val="000000" w:themeColor="text1"/>
          <w:sz w:val="32"/>
          <w:szCs w:val="32"/>
        </w:rPr>
        <w:t>100%</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PM</w:t>
      </w:r>
      <w:r>
        <w:rPr>
          <w:rFonts w:hint="eastAsia" w:ascii="Times New Roman" w:hAnsi="Times New Roman" w:eastAsia="仿宋_GB2312" w:cs="Times New Roman"/>
          <w:color w:val="000000" w:themeColor="text1"/>
          <w:sz w:val="32"/>
          <w:szCs w:val="32"/>
          <w:vertAlign w:val="subscript"/>
        </w:rPr>
        <w:t>2</w:t>
      </w:r>
      <w:r>
        <w:rPr>
          <w:rFonts w:hint="eastAsia" w:ascii="仿宋_GB2312" w:hAnsi="Times New Roman" w:eastAsia="仿宋_GB2312" w:cs="Times New Roman"/>
          <w:color w:val="000000" w:themeColor="text1"/>
          <w:sz w:val="32"/>
          <w:szCs w:val="32"/>
          <w:vertAlign w:val="subscript"/>
        </w:rPr>
        <w:t>.</w:t>
      </w:r>
      <w:r>
        <w:rPr>
          <w:rFonts w:hint="eastAsia" w:ascii="Times New Roman" w:hAnsi="Times New Roman" w:eastAsia="仿宋_GB2312" w:cs="Times New Roman"/>
          <w:color w:val="000000" w:themeColor="text1"/>
          <w:sz w:val="32"/>
          <w:szCs w:val="32"/>
          <w:vertAlign w:val="subscript"/>
        </w:rPr>
        <w:t>5</w:t>
      </w:r>
      <w:r>
        <w:rPr>
          <w:rFonts w:hint="eastAsia" w:ascii="仿宋_GB2312" w:hAnsi="Times New Roman" w:eastAsia="仿宋_GB2312" w:cs="Times New Roman"/>
          <w:color w:val="000000" w:themeColor="text1"/>
          <w:sz w:val="32"/>
          <w:szCs w:val="32"/>
        </w:rPr>
        <w:t>平均浓度</w:t>
      </w:r>
      <w:r>
        <w:rPr>
          <w:rFonts w:hint="eastAsia" w:ascii="Times New Roman" w:hAnsi="Times New Roman" w:eastAsia="仿宋_GB2312" w:cs="Times New Roman"/>
          <w:color w:val="000000" w:themeColor="text1"/>
          <w:sz w:val="32"/>
          <w:szCs w:val="32"/>
        </w:rPr>
        <w:t>37</w:t>
      </w:r>
      <w:r>
        <w:rPr>
          <w:rFonts w:hint="eastAsia" w:ascii="仿宋_GB2312" w:hAnsi="Times New Roman" w:eastAsia="仿宋_GB2312" w:cs="Times New Roman"/>
          <w:color w:val="000000" w:themeColor="text1"/>
          <w:sz w:val="32"/>
          <w:szCs w:val="32"/>
        </w:rPr>
        <w:t>微克/立方米，同比下降</w:t>
      </w:r>
      <w:r>
        <w:rPr>
          <w:rFonts w:hint="eastAsia" w:ascii="Times New Roman" w:hAnsi="Times New Roman" w:eastAsia="仿宋_GB2312" w:cs="Times New Roman"/>
          <w:color w:val="000000" w:themeColor="text1"/>
          <w:sz w:val="32"/>
          <w:szCs w:val="32"/>
        </w:rPr>
        <w:t>17</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rPr>
        <w:t>；空气质量优良天数比例</w:t>
      </w:r>
      <w:r>
        <w:rPr>
          <w:rFonts w:hint="eastAsia" w:ascii="Times New Roman" w:hAnsi="Times New Roman" w:eastAsia="仿宋_GB2312" w:cs="Times New Roman"/>
          <w:color w:val="000000" w:themeColor="text1"/>
          <w:sz w:val="32"/>
          <w:szCs w:val="32"/>
        </w:rPr>
        <w:t>83</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9%</w:t>
      </w:r>
      <w:r>
        <w:rPr>
          <w:rFonts w:hint="eastAsia" w:ascii="仿宋_GB2312" w:hAnsi="Times New Roman" w:eastAsia="仿宋_GB2312" w:cs="Times New Roman"/>
          <w:color w:val="000000" w:themeColor="text1"/>
          <w:sz w:val="32"/>
          <w:szCs w:val="32"/>
        </w:rPr>
        <w:t>，同比上升</w:t>
      </w:r>
      <w:r>
        <w:rPr>
          <w:rFonts w:hint="eastAsia" w:ascii="Times New Roman" w:hAnsi="Times New Roman" w:eastAsia="仿宋_GB2312" w:cs="Times New Roman"/>
          <w:color w:val="000000" w:themeColor="text1"/>
          <w:sz w:val="32"/>
          <w:szCs w:val="32"/>
        </w:rPr>
        <w:t>8</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6</w:t>
      </w:r>
      <w:r>
        <w:rPr>
          <w:rFonts w:hint="eastAsia" w:ascii="仿宋_GB2312" w:hAnsi="Times New Roman" w:eastAsia="仿宋_GB2312" w:cs="Times New Roman"/>
          <w:color w:val="000000" w:themeColor="text1"/>
          <w:sz w:val="32"/>
          <w:szCs w:val="32"/>
        </w:rPr>
        <w:t>个百分点；单位地区生产总值能耗下降</w:t>
      </w:r>
      <w:r>
        <w:rPr>
          <w:rFonts w:hint="eastAsia" w:ascii="Times New Roman"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5%</w:t>
      </w:r>
      <w:r>
        <w:rPr>
          <w:rFonts w:hint="eastAsia" w:ascii="仿宋_GB2312" w:hAnsi="Times New Roman" w:eastAsia="仿宋_GB2312" w:cs="Times New Roman"/>
          <w:color w:val="000000" w:themeColor="text1"/>
          <w:sz w:val="32"/>
          <w:szCs w:val="32"/>
        </w:rPr>
        <w:t>，全面完成省下环境质量和节能减排目标任务。成功创建国家生态文明建设示范市、</w:t>
      </w:r>
      <w:r>
        <w:rPr>
          <w:rFonts w:hint="eastAsia" w:ascii="仿宋_GB2312" w:hAnsi="Calibri" w:eastAsia="仿宋_GB2312"/>
          <w:color w:val="000000" w:themeColor="text1"/>
          <w:sz w:val="32"/>
          <w:szCs w:val="32"/>
        </w:rPr>
        <w:t>国家节水型城市。</w:t>
      </w:r>
    </w:p>
    <w:p>
      <w:pPr>
        <w:overflowPunct w:val="0"/>
        <w:spacing w:line="550" w:lineRule="exact"/>
        <w:ind w:firstLine="640" w:firstLineChars="200"/>
        <w:rPr>
          <w:rFonts w:ascii="仿宋_GB2312" w:hAnsi="Times New Roman" w:eastAsia="仿宋_GB2312" w:cs="Times New Roman"/>
          <w:color w:val="000000" w:themeColor="text1"/>
          <w:sz w:val="32"/>
          <w:szCs w:val="32"/>
        </w:rPr>
      </w:pPr>
      <w:r>
        <w:rPr>
          <w:rFonts w:hint="eastAsia" w:ascii="Times New Roman" w:hAnsi="Times New Roman" w:eastAsia="楷体_GB2312" w:cs="方正楷体_GBK"/>
          <w:color w:val="000000" w:themeColor="text1"/>
          <w:sz w:val="32"/>
          <w:szCs w:val="32"/>
        </w:rPr>
        <w:t>6</w:t>
      </w:r>
      <w:r>
        <w:rPr>
          <w:rFonts w:hint="eastAsia" w:ascii="楷体_GB2312" w:hAnsi="方正楷体_GBK" w:eastAsia="楷体_GB2312" w:cs="方正楷体_GBK"/>
          <w:color w:val="000000" w:themeColor="text1"/>
          <w:sz w:val="32"/>
          <w:szCs w:val="32"/>
        </w:rPr>
        <w:t>．民生保障力度加大。</w:t>
      </w:r>
      <w:r>
        <w:rPr>
          <w:rFonts w:hint="eastAsia" w:ascii="仿宋_GB2312" w:hAnsi="Times New Roman" w:eastAsia="仿宋_GB2312" w:cs="Times New Roman"/>
          <w:color w:val="000000" w:themeColor="text1"/>
          <w:sz w:val="32"/>
          <w:szCs w:val="32"/>
        </w:rPr>
        <w:t>居民收入增长好于预期，预计全年全体居民人均可支配收入增长</w:t>
      </w:r>
      <w:r>
        <w:rPr>
          <w:rFonts w:hint="eastAsia" w:ascii="Times New Roman" w:hAnsi="Times New Roman" w:eastAsia="仿宋_GB2312" w:cs="Times New Roman"/>
          <w:color w:val="000000" w:themeColor="text1"/>
          <w:sz w:val="32"/>
          <w:szCs w:val="32"/>
          <w:lang w:val="en-US" w:eastAsia="zh-CN"/>
        </w:rPr>
        <w:t>5</w:t>
      </w:r>
      <w:r>
        <w:rPr>
          <w:rFonts w:hint="eastAsia"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lang w:val="en-US" w:eastAsia="zh-CN"/>
        </w:rPr>
        <w:t>以上</w:t>
      </w:r>
      <w:r>
        <w:rPr>
          <w:rFonts w:hint="eastAsia" w:ascii="仿宋_GB2312" w:hAnsi="Times New Roman" w:eastAsia="仿宋_GB2312" w:cs="Times New Roman"/>
          <w:color w:val="000000" w:themeColor="text1"/>
          <w:sz w:val="32"/>
          <w:szCs w:val="32"/>
        </w:rPr>
        <w:t>，城镇新增就业</w:t>
      </w:r>
      <w:r>
        <w:rPr>
          <w:rFonts w:hint="eastAsia" w:ascii="Times New Roman" w:hAnsi="Times New Roman" w:eastAsia="仿宋_GB2312" w:cs="Times New Roman"/>
          <w:color w:val="000000" w:themeColor="text1"/>
          <w:sz w:val="32"/>
          <w:szCs w:val="32"/>
        </w:rPr>
        <w:t>10</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1</w:t>
      </w:r>
      <w:r>
        <w:rPr>
          <w:rFonts w:hint="eastAsia" w:ascii="仿宋_GB2312" w:hAnsi="Times New Roman" w:eastAsia="仿宋_GB2312" w:cs="Times New Roman"/>
          <w:color w:val="000000" w:themeColor="text1"/>
          <w:sz w:val="32"/>
          <w:szCs w:val="32"/>
        </w:rPr>
        <w:t>万人、城镇登记失业率</w:t>
      </w:r>
      <w:r>
        <w:rPr>
          <w:rFonts w:hint="eastAsia" w:ascii="Times New Roman" w:hAnsi="Times New Roman" w:eastAsia="仿宋_GB2312" w:cs="Times New Roman"/>
          <w:color w:val="000000" w:themeColor="text1"/>
          <w:sz w:val="32"/>
          <w:szCs w:val="32"/>
        </w:rPr>
        <w:t>1</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76%</w:t>
      </w:r>
      <w:r>
        <w:rPr>
          <w:rFonts w:hint="eastAsia" w:ascii="仿宋_GB2312" w:hAnsi="Times New Roman" w:eastAsia="仿宋_GB2312" w:cs="Times New Roman"/>
          <w:color w:val="000000" w:themeColor="text1"/>
          <w:sz w:val="32"/>
          <w:szCs w:val="32"/>
        </w:rPr>
        <w:t>，完成年度调控目标。实现全国文明城市“三连冠”、全国双拥模范城“五连冠”，获评“</w:t>
      </w:r>
      <w:r>
        <w:rPr>
          <w:rFonts w:hint="eastAsia" w:ascii="Times New Roman" w:hAnsi="Times New Roman" w:eastAsia="仿宋_GB2312" w:cs="Times New Roman"/>
          <w:color w:val="000000" w:themeColor="text1"/>
          <w:sz w:val="32"/>
          <w:szCs w:val="32"/>
        </w:rPr>
        <w:t>2020</w:t>
      </w:r>
      <w:r>
        <w:rPr>
          <w:rFonts w:hint="eastAsia" w:ascii="仿宋_GB2312" w:hAnsi="Times New Roman" w:eastAsia="仿宋_GB2312" w:cs="Times New Roman"/>
          <w:color w:val="000000" w:themeColor="text1"/>
          <w:sz w:val="32"/>
          <w:szCs w:val="32"/>
        </w:rPr>
        <w:t>中国最具幸福感城市”。社会事业持续加强，新（改扩）建幼儿园及中小学</w:t>
      </w:r>
      <w:r>
        <w:rPr>
          <w:rFonts w:hint="eastAsia" w:ascii="Times New Roman" w:hAnsi="Times New Roman" w:eastAsia="仿宋_GB2312" w:cs="Times New Roman"/>
          <w:color w:val="000000" w:themeColor="text1"/>
          <w:sz w:val="32"/>
          <w:szCs w:val="32"/>
        </w:rPr>
        <w:t>60</w:t>
      </w:r>
      <w:r>
        <w:rPr>
          <w:rFonts w:hint="eastAsia" w:ascii="仿宋_GB2312" w:hAnsi="Times New Roman" w:eastAsia="仿宋_GB2312" w:cs="Times New Roman"/>
          <w:color w:val="000000" w:themeColor="text1"/>
          <w:sz w:val="32"/>
          <w:szCs w:val="32"/>
        </w:rPr>
        <w:t>所；南京中医药大学泰州校区正式招生；开展文化惠民活动</w:t>
      </w:r>
      <w:r>
        <w:rPr>
          <w:rFonts w:hint="eastAsia" w:ascii="Times New Roman" w:hAnsi="Times New Roman" w:eastAsia="仿宋_GB2312" w:cs="Times New Roman"/>
          <w:color w:val="000000" w:themeColor="text1"/>
          <w:sz w:val="32"/>
          <w:szCs w:val="32"/>
        </w:rPr>
        <w:t>2000</w:t>
      </w:r>
      <w:r>
        <w:rPr>
          <w:rFonts w:hint="eastAsia" w:ascii="仿宋_GB2312" w:hAnsi="Times New Roman" w:eastAsia="仿宋_GB2312" w:cs="Times New Roman"/>
          <w:color w:val="000000" w:themeColor="text1"/>
          <w:sz w:val="32"/>
          <w:szCs w:val="32"/>
        </w:rPr>
        <w:t>余场；组建</w:t>
      </w:r>
      <w:r>
        <w:rPr>
          <w:rFonts w:hint="eastAsia" w:ascii="Times New Roman" w:hAnsi="Times New Roman" w:eastAsia="仿宋_GB2312" w:cs="Times New Roman"/>
          <w:color w:val="000000" w:themeColor="text1"/>
          <w:sz w:val="32"/>
          <w:szCs w:val="32"/>
        </w:rPr>
        <w:t>11</w:t>
      </w:r>
      <w:r>
        <w:rPr>
          <w:rFonts w:hint="eastAsia" w:ascii="仿宋_GB2312" w:hAnsi="Times New Roman" w:eastAsia="仿宋_GB2312" w:cs="Times New Roman"/>
          <w:color w:val="000000" w:themeColor="text1"/>
          <w:sz w:val="32"/>
          <w:szCs w:val="32"/>
        </w:rPr>
        <w:t>家医联体和五大救治联盟；每万常住人口疾控人员数达</w:t>
      </w:r>
      <w:r>
        <w:rPr>
          <w:rFonts w:hint="eastAsia" w:ascii="Times New Roman" w:hAnsi="Times New Roman" w:eastAsia="仿宋_GB2312" w:cs="Times New Roman"/>
          <w:color w:val="000000" w:themeColor="text1"/>
          <w:sz w:val="32"/>
          <w:szCs w:val="32"/>
        </w:rPr>
        <w:t>0</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31</w:t>
      </w:r>
      <w:r>
        <w:rPr>
          <w:rFonts w:hint="eastAsia" w:ascii="仿宋_GB2312" w:hAnsi="Times New Roman" w:eastAsia="仿宋_GB2312" w:cs="Times New Roman"/>
          <w:color w:val="000000" w:themeColor="text1"/>
          <w:sz w:val="32"/>
          <w:szCs w:val="32"/>
        </w:rPr>
        <w:t>人；城乡居民基本养老保险基础养老金市区最低标准提高到每人每月</w:t>
      </w:r>
      <w:r>
        <w:rPr>
          <w:rFonts w:hint="eastAsia" w:ascii="Times New Roman" w:hAnsi="Times New Roman" w:eastAsia="仿宋_GB2312" w:cs="Times New Roman"/>
          <w:color w:val="000000" w:themeColor="text1"/>
          <w:sz w:val="32"/>
          <w:szCs w:val="32"/>
        </w:rPr>
        <w:t>185</w:t>
      </w:r>
      <w:r>
        <w:rPr>
          <w:rFonts w:hint="eastAsia" w:ascii="仿宋_GB2312" w:hAnsi="Times New Roman" w:eastAsia="仿宋_GB2312" w:cs="Times New Roman"/>
          <w:color w:val="000000" w:themeColor="text1"/>
          <w:sz w:val="32"/>
          <w:szCs w:val="32"/>
        </w:rPr>
        <w:t>元；接受居家养老上门服务老人数达</w:t>
      </w:r>
      <w:r>
        <w:rPr>
          <w:rFonts w:hint="eastAsia" w:ascii="Times New Roman" w:hAnsi="Times New Roman" w:eastAsia="仿宋_GB2312" w:cs="Times New Roman"/>
          <w:color w:val="000000" w:themeColor="text1"/>
          <w:sz w:val="32"/>
          <w:szCs w:val="32"/>
        </w:rPr>
        <w:t>35</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7</w:t>
      </w:r>
      <w:r>
        <w:rPr>
          <w:rFonts w:hint="eastAsia" w:ascii="仿宋_GB2312" w:hAnsi="Times New Roman" w:eastAsia="仿宋_GB2312" w:cs="Times New Roman"/>
          <w:color w:val="000000" w:themeColor="text1"/>
          <w:sz w:val="32"/>
          <w:szCs w:val="32"/>
        </w:rPr>
        <w:t>万人；完成</w:t>
      </w:r>
      <w:r>
        <w:rPr>
          <w:rFonts w:hint="eastAsia" w:ascii="Times New Roman" w:hAnsi="Times New Roman" w:eastAsia="仿宋_GB2312" w:cs="Times New Roman"/>
          <w:color w:val="000000" w:themeColor="text1"/>
          <w:sz w:val="32"/>
          <w:szCs w:val="32"/>
        </w:rPr>
        <w:t>3076</w:t>
      </w:r>
      <w:r>
        <w:rPr>
          <w:rFonts w:hint="eastAsia" w:ascii="仿宋_GB2312" w:hAnsi="Times New Roman" w:eastAsia="仿宋_GB2312" w:cs="Times New Roman"/>
          <w:color w:val="000000" w:themeColor="text1"/>
          <w:sz w:val="32"/>
          <w:szCs w:val="32"/>
        </w:rPr>
        <w:t>户经济困难的高龄、失能、重度残疾老年人家庭适老化改造，为</w:t>
      </w:r>
      <w:r>
        <w:rPr>
          <w:rFonts w:hint="eastAsia" w:ascii="Times New Roman" w:hAnsi="Times New Roman" w:eastAsia="仿宋_GB2312" w:cs="Times New Roman"/>
          <w:color w:val="000000" w:themeColor="text1"/>
          <w:sz w:val="32"/>
          <w:szCs w:val="32"/>
        </w:rPr>
        <w:t>54</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1</w:t>
      </w:r>
      <w:r>
        <w:rPr>
          <w:rFonts w:hint="eastAsia" w:ascii="仿宋_GB2312" w:hAnsi="Times New Roman" w:eastAsia="仿宋_GB2312" w:cs="Times New Roman"/>
          <w:color w:val="000000" w:themeColor="text1"/>
          <w:sz w:val="32"/>
          <w:szCs w:val="32"/>
        </w:rPr>
        <w:t>万名</w:t>
      </w:r>
      <w:r>
        <w:rPr>
          <w:rFonts w:hint="eastAsia" w:ascii="Times New Roman" w:hAnsi="Times New Roman" w:eastAsia="仿宋_GB2312" w:cs="Times New Roman"/>
          <w:color w:val="000000" w:themeColor="text1"/>
          <w:sz w:val="32"/>
          <w:szCs w:val="32"/>
        </w:rPr>
        <w:t>65</w:t>
      </w:r>
      <w:r>
        <w:rPr>
          <w:rFonts w:hint="eastAsia" w:ascii="仿宋_GB2312" w:hAnsi="Times New Roman" w:eastAsia="仿宋_GB2312" w:cs="Times New Roman"/>
          <w:color w:val="000000" w:themeColor="text1"/>
          <w:sz w:val="32"/>
          <w:szCs w:val="32"/>
        </w:rPr>
        <w:t>岁以上老年人免费提供一次基本健康体检服务。发放低收入群众价格临时补贴</w:t>
      </w:r>
      <w:r>
        <w:rPr>
          <w:rFonts w:hint="eastAsia" w:ascii="Times New Roman" w:hAnsi="Times New Roman" w:eastAsia="仿宋_GB2312" w:cs="Times New Roman"/>
          <w:color w:val="000000" w:themeColor="text1"/>
          <w:sz w:val="32"/>
          <w:szCs w:val="32"/>
        </w:rPr>
        <w:t>1</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4</w:t>
      </w:r>
      <w:r>
        <w:rPr>
          <w:rFonts w:hint="eastAsia" w:ascii="仿宋_GB2312" w:hAnsi="Times New Roman" w:eastAsia="仿宋_GB2312" w:cs="Times New Roman"/>
          <w:color w:val="000000" w:themeColor="text1"/>
          <w:sz w:val="32"/>
          <w:szCs w:val="32"/>
        </w:rPr>
        <w:t>亿元，惠及困难群众</w:t>
      </w:r>
      <w:r>
        <w:rPr>
          <w:rFonts w:hint="eastAsia" w:ascii="Times New Roman" w:hAnsi="Times New Roman" w:eastAsia="仿宋_GB2312" w:cs="Times New Roman"/>
          <w:color w:val="000000" w:themeColor="text1"/>
          <w:sz w:val="32"/>
          <w:szCs w:val="32"/>
        </w:rPr>
        <w:t>99</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6</w:t>
      </w:r>
      <w:r>
        <w:rPr>
          <w:rFonts w:hint="eastAsia" w:ascii="仿宋_GB2312" w:hAnsi="Times New Roman" w:eastAsia="仿宋_GB2312" w:cs="Times New Roman"/>
          <w:color w:val="000000" w:themeColor="text1"/>
          <w:sz w:val="32"/>
          <w:szCs w:val="32"/>
        </w:rPr>
        <w:t>万人次。安全生产专项整治“一年小灶”成效明显，生产安全事故起数、死亡人数分别下降</w:t>
      </w:r>
      <w:r>
        <w:rPr>
          <w:rFonts w:hint="eastAsia" w:ascii="Times New Roman" w:hAnsi="Times New Roman" w:eastAsia="仿宋_GB2312" w:cs="Times New Roman"/>
          <w:color w:val="000000" w:themeColor="text1"/>
          <w:sz w:val="32"/>
          <w:szCs w:val="32"/>
        </w:rPr>
        <w:t>65</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5%</w:t>
      </w:r>
      <w:r>
        <w:rPr>
          <w:rFonts w:hint="eastAsia" w:ascii="仿宋_GB2312" w:hAnsi="Times New Roman" w:eastAsia="仿宋_GB2312" w:cs="Times New Roman"/>
          <w:color w:val="000000" w:themeColor="text1"/>
          <w:sz w:val="32"/>
          <w:szCs w:val="32"/>
        </w:rPr>
        <w:t>和</w:t>
      </w:r>
      <w:r>
        <w:rPr>
          <w:rFonts w:hint="eastAsia" w:ascii="Times New Roman" w:hAnsi="Times New Roman" w:eastAsia="仿宋_GB2312" w:cs="Times New Roman"/>
          <w:color w:val="000000" w:themeColor="text1"/>
          <w:sz w:val="32"/>
          <w:szCs w:val="32"/>
        </w:rPr>
        <w:t>64</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4%</w:t>
      </w:r>
      <w:r>
        <w:rPr>
          <w:rFonts w:hint="eastAsia" w:ascii="仿宋_GB2312" w:hAnsi="Times New Roman" w:eastAsia="仿宋_GB2312" w:cs="Times New Roman"/>
          <w:color w:val="000000" w:themeColor="text1"/>
          <w:sz w:val="32"/>
          <w:szCs w:val="32"/>
        </w:rPr>
        <w:t>。成为全国首批市域社会治理现代化试点城市。</w:t>
      </w:r>
    </w:p>
    <w:p>
      <w:pPr>
        <w:overflowPunct w:val="0"/>
        <w:spacing w:line="550" w:lineRule="exact"/>
        <w:ind w:firstLine="632" w:firstLineChars="200"/>
        <w:rPr>
          <w:rFonts w:ascii="仿宋_GB2312" w:hAnsi="Times New Roman" w:eastAsia="仿宋_GB2312" w:cs="Times New Roman"/>
          <w:color w:val="000000" w:themeColor="text1"/>
          <w:spacing w:val="-2"/>
          <w:sz w:val="32"/>
          <w:szCs w:val="32"/>
        </w:rPr>
      </w:pPr>
      <w:r>
        <w:rPr>
          <w:rFonts w:hint="eastAsia" w:ascii="仿宋_GB2312" w:hAnsi="Times New Roman" w:eastAsia="仿宋_GB2312" w:cs="Times New Roman"/>
          <w:color w:val="000000" w:themeColor="text1"/>
          <w:spacing w:val="-2"/>
          <w:sz w:val="32"/>
          <w:szCs w:val="32"/>
        </w:rPr>
        <w:t>总的来看，</w:t>
      </w:r>
      <w:r>
        <w:rPr>
          <w:rFonts w:hint="eastAsia" w:ascii="Times New Roman" w:hAnsi="Times New Roman" w:eastAsia="仿宋_GB2312" w:cs="Times New Roman"/>
          <w:color w:val="000000" w:themeColor="text1"/>
          <w:spacing w:val="-2"/>
          <w:sz w:val="32"/>
          <w:szCs w:val="32"/>
        </w:rPr>
        <w:t>2020</w:t>
      </w:r>
      <w:r>
        <w:rPr>
          <w:rFonts w:hint="eastAsia" w:ascii="仿宋_GB2312" w:hAnsi="Times New Roman" w:eastAsia="仿宋_GB2312" w:cs="Times New Roman"/>
          <w:color w:val="000000" w:themeColor="text1"/>
          <w:spacing w:val="-2"/>
          <w:sz w:val="32"/>
          <w:szCs w:val="32"/>
        </w:rPr>
        <w:t>年全市主要指标低开高走、持续回暖，下半年基本恢复正常，顺利完成“十三五”主要目标任务，决胜高水平全面建成小康社会取得决定性成就。成绩来之不易，但存在的问题和不足依然突出：</w:t>
      </w:r>
      <w:r>
        <w:rPr>
          <w:rFonts w:hint="eastAsia" w:ascii="仿宋_GB2312" w:hAnsi="方正黑体_GBK" w:eastAsia="仿宋_GB2312" w:cs="方正黑体_GBK"/>
          <w:b/>
          <w:color w:val="000000" w:themeColor="text1"/>
          <w:spacing w:val="-2"/>
          <w:sz w:val="32"/>
          <w:szCs w:val="32"/>
        </w:rPr>
        <w:t>一是</w:t>
      </w:r>
      <w:r>
        <w:rPr>
          <w:rFonts w:hint="eastAsia" w:ascii="仿宋_GB2312" w:hAnsi="Times New Roman" w:eastAsia="仿宋_GB2312" w:cs="Times New Roman"/>
          <w:color w:val="000000" w:themeColor="text1"/>
          <w:spacing w:val="-2"/>
          <w:sz w:val="32"/>
          <w:szCs w:val="32"/>
        </w:rPr>
        <w:t>经济下行压力明显加大。疫情对经济社会发展的影响持续存在，实体经济面临的困难明显增多，部分行业仍处于艰难复苏期，部分指标未能完成全年目标任务。</w:t>
      </w:r>
      <w:r>
        <w:rPr>
          <w:rFonts w:hint="eastAsia" w:ascii="仿宋_GB2312" w:hAnsi="方正黑体_GBK" w:eastAsia="仿宋_GB2312" w:cs="方正黑体_GBK"/>
          <w:b/>
          <w:color w:val="000000" w:themeColor="text1"/>
          <w:spacing w:val="-2"/>
          <w:sz w:val="32"/>
          <w:szCs w:val="32"/>
        </w:rPr>
        <w:t>二是</w:t>
      </w:r>
      <w:r>
        <w:rPr>
          <w:rFonts w:hint="eastAsia" w:ascii="仿宋_GB2312" w:hAnsi="Times New Roman" w:eastAsia="仿宋_GB2312" w:cs="Times New Roman"/>
          <w:color w:val="000000" w:themeColor="text1"/>
          <w:spacing w:val="-2"/>
          <w:sz w:val="32"/>
          <w:szCs w:val="32"/>
        </w:rPr>
        <w:t>产业竞争力仍需增强，创新资源与企业主体、市场力量的结合不够紧密，园区特色竞争力、产业承载力有待进一步做强，营商环境建设必须深度发力。</w:t>
      </w:r>
      <w:r>
        <w:rPr>
          <w:rFonts w:hint="eastAsia" w:ascii="仿宋_GB2312" w:hAnsi="方正黑体_GBK" w:eastAsia="仿宋_GB2312" w:cs="方正黑体_GBK"/>
          <w:b/>
          <w:color w:val="000000" w:themeColor="text1"/>
          <w:spacing w:val="-2"/>
          <w:sz w:val="32"/>
          <w:szCs w:val="32"/>
        </w:rPr>
        <w:t>三是</w:t>
      </w:r>
      <w:r>
        <w:rPr>
          <w:rFonts w:hint="eastAsia" w:ascii="仿宋_GB2312" w:hAnsi="Times New Roman" w:eastAsia="仿宋_GB2312" w:cs="Times New Roman"/>
          <w:color w:val="000000" w:themeColor="text1"/>
          <w:spacing w:val="-2"/>
          <w:sz w:val="32"/>
          <w:szCs w:val="32"/>
        </w:rPr>
        <w:t>城市能级还待提高，中心城市集聚辐射能力不强，高端服务、高端商贸功能仍显不足，城市运行管理存在短板，民生改善和公共服务供给与群众期盼还有一定差距；</w:t>
      </w:r>
      <w:r>
        <w:rPr>
          <w:rFonts w:hint="eastAsia" w:ascii="仿宋_GB2312" w:hAnsi="方正黑体_GBK" w:eastAsia="仿宋_GB2312" w:cs="方正黑体_GBK"/>
          <w:b/>
          <w:color w:val="000000" w:themeColor="text1"/>
          <w:spacing w:val="-2"/>
          <w:sz w:val="32"/>
          <w:szCs w:val="32"/>
        </w:rPr>
        <w:t>四是</w:t>
      </w:r>
      <w:r>
        <w:rPr>
          <w:rFonts w:hint="eastAsia" w:ascii="仿宋_GB2312" w:hAnsi="Times New Roman" w:eastAsia="仿宋_GB2312" w:cs="Times New Roman"/>
          <w:color w:val="000000" w:themeColor="text1"/>
          <w:spacing w:val="-2"/>
          <w:sz w:val="32"/>
          <w:szCs w:val="32"/>
        </w:rPr>
        <w:t>风险挑战依然较多，金融风险治理、生态治理和环境保护力度还要持续加大，实现本质安全任重道远，等等。以上问题需要高度重视，在今后的工作中切实加以解决。</w:t>
      </w:r>
    </w:p>
    <w:p>
      <w:pPr>
        <w:overflowPunct w:val="0"/>
        <w:spacing w:line="550" w:lineRule="exact"/>
        <w:ind w:firstLine="640" w:firstLineChars="200"/>
        <w:rPr>
          <w:rFonts w:ascii="黑体" w:hAnsi="黑体" w:eastAsia="黑体" w:cs="方正黑体_GBK"/>
          <w:color w:val="000000" w:themeColor="text1"/>
          <w:sz w:val="32"/>
          <w:szCs w:val="32"/>
        </w:rPr>
      </w:pPr>
      <w:r>
        <w:rPr>
          <w:rFonts w:hint="eastAsia" w:ascii="黑体" w:hAnsi="黑体" w:eastAsia="黑体" w:cs="方正黑体_GBK"/>
          <w:color w:val="000000" w:themeColor="text1"/>
          <w:sz w:val="32"/>
          <w:szCs w:val="32"/>
        </w:rPr>
        <w:t>二、</w:t>
      </w:r>
      <w:r>
        <w:rPr>
          <w:rFonts w:hint="eastAsia" w:ascii="Times New Roman" w:hAnsi="Times New Roman" w:eastAsia="黑体" w:cs="方正黑体_GBK"/>
          <w:color w:val="000000" w:themeColor="text1"/>
          <w:sz w:val="32"/>
          <w:szCs w:val="32"/>
        </w:rPr>
        <w:t>2021</w:t>
      </w:r>
      <w:r>
        <w:rPr>
          <w:rFonts w:hint="eastAsia" w:ascii="黑体" w:hAnsi="黑体" w:eastAsia="黑体" w:cs="方正黑体_GBK"/>
          <w:color w:val="000000" w:themeColor="text1"/>
          <w:sz w:val="32"/>
          <w:szCs w:val="32"/>
        </w:rPr>
        <w:t>年全市经济社会发展计划安排情况</w:t>
      </w:r>
    </w:p>
    <w:p>
      <w:pPr>
        <w:overflowPunct w:val="0"/>
        <w:spacing w:line="550" w:lineRule="exact"/>
        <w:ind w:firstLine="648" w:firstLineChars="200"/>
        <w:rPr>
          <w:rFonts w:ascii="仿宋_GB2312" w:hAnsi="Times New Roman" w:eastAsia="仿宋_GB2312" w:cs="Times New Roman"/>
          <w:color w:val="000000" w:themeColor="text1"/>
          <w:spacing w:val="2"/>
          <w:sz w:val="32"/>
          <w:szCs w:val="32"/>
        </w:rPr>
      </w:pPr>
      <w:r>
        <w:rPr>
          <w:rFonts w:hint="eastAsia" w:ascii="Times New Roman" w:hAnsi="Times New Roman" w:eastAsia="仿宋_GB2312" w:cs="Times New Roman"/>
          <w:color w:val="000000" w:themeColor="text1"/>
          <w:spacing w:val="2"/>
          <w:sz w:val="32"/>
          <w:szCs w:val="32"/>
        </w:rPr>
        <w:t>2021</w:t>
      </w:r>
      <w:r>
        <w:rPr>
          <w:rFonts w:hint="eastAsia" w:ascii="仿宋_GB2312" w:hAnsi="Times New Roman" w:eastAsia="仿宋_GB2312" w:cs="Times New Roman"/>
          <w:color w:val="000000" w:themeColor="text1"/>
          <w:spacing w:val="2"/>
          <w:sz w:val="32"/>
          <w:szCs w:val="32"/>
        </w:rPr>
        <w:t>年是“十四五”发展开局之年，也是全面落实习近平总书记对江苏发展“争当表率、争做示范、走在前列”重要指示精神、全面开启社会主义现代化建设的起始之年。全市经济社会发展要坚持稳中求进工作总基调，立足新发展阶段、贯彻新发展理念，构建新发展格局，奋力开创幸福泰州高质量发展新局面。在指标安排上做到</w:t>
      </w:r>
      <w:r>
        <w:rPr>
          <w:rFonts w:hint="eastAsia" w:ascii="仿宋_GB2312" w:hAnsi="方正黑体_GBK" w:eastAsia="仿宋_GB2312" w:cs="方正黑体_GBK"/>
          <w:b/>
          <w:bCs/>
          <w:color w:val="000000" w:themeColor="text1"/>
          <w:spacing w:val="2"/>
          <w:sz w:val="32"/>
          <w:szCs w:val="32"/>
        </w:rPr>
        <w:t>“四个衔接”：</w:t>
      </w:r>
      <w:r>
        <w:rPr>
          <w:rFonts w:hint="eastAsia" w:ascii="仿宋_GB2312" w:hAnsi="Times New Roman" w:eastAsia="仿宋_GB2312" w:cs="Times New Roman"/>
          <w:color w:val="000000" w:themeColor="text1"/>
          <w:spacing w:val="2"/>
          <w:sz w:val="32"/>
          <w:szCs w:val="32"/>
        </w:rPr>
        <w:t>一是与全面建设社会主义现代化国家的“两步走”中长期目标相衔接，将市委确定的</w:t>
      </w:r>
      <w:r>
        <w:rPr>
          <w:rFonts w:hint="eastAsia" w:ascii="Times New Roman" w:hAnsi="Times New Roman" w:eastAsia="仿宋_GB2312" w:cs="Times New Roman"/>
          <w:color w:val="000000" w:themeColor="text1"/>
          <w:spacing w:val="2"/>
          <w:sz w:val="32"/>
          <w:szCs w:val="32"/>
        </w:rPr>
        <w:t>2035</w:t>
      </w:r>
      <w:r>
        <w:rPr>
          <w:rFonts w:hint="eastAsia" w:ascii="仿宋_GB2312" w:hAnsi="Times New Roman" w:eastAsia="仿宋_GB2312" w:cs="Times New Roman"/>
          <w:color w:val="000000" w:themeColor="text1"/>
          <w:spacing w:val="2"/>
          <w:sz w:val="32"/>
          <w:szCs w:val="32"/>
        </w:rPr>
        <w:t>年远景目标落实到每一个具体年度。二是与“十四五”规划相衔接，确保“十四五”发展开好局、起好步。三是与全省及周边发展情况相衔接，力争主要指标不低于全省和苏中平均水平。四是注重指标之间的衔接，突出支撑性、结构性指标，为全市经济社会持续健康发展奠定坚实基础。</w:t>
      </w:r>
    </w:p>
    <w:p>
      <w:pPr>
        <w:overflowPunct w:val="0"/>
        <w:spacing w:line="550" w:lineRule="exact"/>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根据以上要求，提出全市</w:t>
      </w:r>
      <w:r>
        <w:rPr>
          <w:rFonts w:hint="eastAsia" w:ascii="Times New Roman" w:hAnsi="Times New Roman" w:eastAsia="仿宋_GB2312" w:cs="Times New Roman"/>
          <w:color w:val="000000" w:themeColor="text1"/>
          <w:sz w:val="32"/>
          <w:szCs w:val="32"/>
        </w:rPr>
        <w:t>2021</w:t>
      </w:r>
      <w:r>
        <w:rPr>
          <w:rFonts w:hint="eastAsia" w:ascii="仿宋_GB2312" w:hAnsi="Times New Roman" w:eastAsia="仿宋_GB2312" w:cs="Times New Roman"/>
          <w:color w:val="000000" w:themeColor="text1"/>
          <w:sz w:val="32"/>
          <w:szCs w:val="32"/>
        </w:rPr>
        <w:t>年经济社会发展主要预期目标：</w:t>
      </w:r>
    </w:p>
    <w:p>
      <w:pPr>
        <w:spacing w:line="550" w:lineRule="exact"/>
        <w:ind w:firstLine="640" w:firstLineChars="200"/>
        <w:rPr>
          <w:rFonts w:ascii="仿宋_GB2312" w:eastAsia="仿宋_GB2312"/>
          <w:color w:val="000000" w:themeColor="text1"/>
          <w:sz w:val="32"/>
          <w:szCs w:val="32"/>
        </w:rPr>
      </w:pPr>
      <w:r>
        <w:rPr>
          <w:rFonts w:hint="eastAsia" w:ascii="黑体" w:hAnsi="黑体" w:eastAsia="黑体" w:cs="Times New Roman"/>
          <w:color w:val="000000" w:themeColor="text1"/>
          <w:sz w:val="32"/>
          <w:szCs w:val="32"/>
        </w:rPr>
        <w:t>——</w:t>
      </w:r>
      <w:r>
        <w:rPr>
          <w:rFonts w:hint="eastAsia" w:ascii="仿宋_GB2312" w:hAnsi="Times New Roman" w:eastAsia="仿宋_GB2312" w:cs="Times New Roman"/>
          <w:color w:val="000000" w:themeColor="text1"/>
          <w:sz w:val="32"/>
          <w:szCs w:val="32"/>
        </w:rPr>
        <w:t>地区生产总值增长</w:t>
      </w:r>
      <w:r>
        <w:rPr>
          <w:rFonts w:hint="eastAsia" w:ascii="Times New Roman" w:hAnsi="Times New Roman" w:eastAsia="仿宋_GB2312" w:cs="Times New Roman"/>
          <w:color w:val="000000" w:themeColor="text1"/>
          <w:sz w:val="32"/>
          <w:szCs w:val="32"/>
        </w:rPr>
        <w:t>7%</w:t>
      </w:r>
      <w:r>
        <w:rPr>
          <w:rFonts w:hint="eastAsia" w:ascii="仿宋_GB2312" w:hAnsi="Times New Roman" w:eastAsia="仿宋_GB2312" w:cs="Times New Roman"/>
          <w:color w:val="000000" w:themeColor="text1"/>
          <w:sz w:val="32"/>
          <w:szCs w:val="32"/>
        </w:rPr>
        <w:t>左右。今年全球经济将呈现恢复性增长态势，我市实体经济基础较好，工业生产较快从疫情影响中恢复，有望保持稳定增长，服务业也将延续增长态势。</w:t>
      </w:r>
      <w:r>
        <w:rPr>
          <w:rFonts w:hint="eastAsia" w:ascii="Times New Roman" w:hAnsi="Times New Roman" w:eastAsia="仿宋_GB2312" w:cs="Times New Roman"/>
          <w:color w:val="000000" w:themeColor="text1"/>
          <w:sz w:val="32"/>
          <w:szCs w:val="32"/>
        </w:rPr>
        <w:t>2021</w:t>
      </w:r>
      <w:r>
        <w:rPr>
          <w:rFonts w:hint="eastAsia" w:ascii="仿宋_GB2312" w:hAnsi="Times New Roman" w:eastAsia="仿宋_GB2312" w:cs="Times New Roman"/>
          <w:color w:val="000000" w:themeColor="text1"/>
          <w:sz w:val="32"/>
          <w:szCs w:val="32"/>
        </w:rPr>
        <w:t>年全省地区生产总值计划安排增长</w:t>
      </w:r>
      <w:r>
        <w:rPr>
          <w:rFonts w:hint="eastAsia" w:ascii="Times New Roman" w:hAnsi="Times New Roman" w:eastAsia="仿宋_GB2312" w:cs="Times New Roman"/>
          <w:color w:val="000000" w:themeColor="text1"/>
          <w:sz w:val="32"/>
          <w:szCs w:val="32"/>
        </w:rPr>
        <w:t>6%</w:t>
      </w:r>
      <w:r>
        <w:rPr>
          <w:rFonts w:hint="eastAsia" w:ascii="仿宋_GB2312" w:hAnsi="Times New Roman" w:eastAsia="仿宋_GB2312" w:cs="Times New Roman"/>
          <w:color w:val="000000" w:themeColor="text1"/>
          <w:sz w:val="32"/>
          <w:szCs w:val="32"/>
        </w:rPr>
        <w:t>以上，我市增长</w:t>
      </w:r>
      <w:r>
        <w:rPr>
          <w:rFonts w:hint="eastAsia" w:ascii="Times New Roman" w:hAnsi="Times New Roman" w:eastAsia="仿宋_GB2312" w:cs="Times New Roman"/>
          <w:color w:val="000000" w:themeColor="text1"/>
          <w:sz w:val="32"/>
          <w:szCs w:val="32"/>
        </w:rPr>
        <w:t>7%</w:t>
      </w:r>
      <w:r>
        <w:rPr>
          <w:rFonts w:hint="eastAsia" w:ascii="仿宋_GB2312" w:hAnsi="Times New Roman" w:eastAsia="仿宋_GB2312" w:cs="Times New Roman"/>
          <w:color w:val="000000" w:themeColor="text1"/>
          <w:sz w:val="32"/>
          <w:szCs w:val="32"/>
        </w:rPr>
        <w:t>左右的目标高于全省平均水平，与周边城市基本持平，为实现</w:t>
      </w:r>
      <w:r>
        <w:rPr>
          <w:rFonts w:hint="eastAsia" w:ascii="Times New Roman" w:hAnsi="Times New Roman" w:eastAsia="仿宋_GB2312" w:cs="Times New Roman"/>
          <w:color w:val="000000" w:themeColor="text1"/>
          <w:sz w:val="32"/>
          <w:szCs w:val="32"/>
        </w:rPr>
        <w:t>2035</w:t>
      </w:r>
      <w:r>
        <w:rPr>
          <w:rFonts w:hint="eastAsia" w:ascii="仿宋_GB2312" w:hAnsi="Times New Roman" w:eastAsia="仿宋_GB2312" w:cs="Times New Roman"/>
          <w:color w:val="000000" w:themeColor="text1"/>
          <w:sz w:val="32"/>
          <w:szCs w:val="32"/>
        </w:rPr>
        <w:t>年远景目标</w:t>
      </w:r>
      <w:r>
        <w:rPr>
          <w:rStyle w:val="13"/>
          <w:rFonts w:hint="eastAsia" w:ascii="仿宋_GB2312" w:hAnsi="Times New Roman" w:eastAsia="仿宋_GB2312" w:cs="Times New Roman"/>
          <w:color w:val="000000" w:themeColor="text1"/>
          <w:sz w:val="32"/>
          <w:szCs w:val="32"/>
        </w:rPr>
        <w:footnoteReference w:id="5"/>
      </w:r>
      <w:r>
        <w:rPr>
          <w:rFonts w:hint="eastAsia" w:ascii="仿宋_GB2312" w:hAnsi="Times New Roman" w:eastAsia="仿宋_GB2312" w:cs="Times New Roman"/>
          <w:color w:val="000000" w:themeColor="text1"/>
          <w:sz w:val="32"/>
          <w:szCs w:val="32"/>
        </w:rPr>
        <w:t>和“十四五”规划中长期目标奠定更为坚实的基础。</w:t>
      </w:r>
    </w:p>
    <w:p>
      <w:pPr>
        <w:overflowPunct w:val="0"/>
        <w:spacing w:line="550" w:lineRule="exact"/>
        <w:ind w:firstLine="640" w:firstLineChars="200"/>
        <w:rPr>
          <w:rFonts w:ascii="仿宋_GB2312" w:hAnsi="Times New Roman" w:eastAsia="仿宋_GB2312" w:cs="Times New Roman"/>
          <w:color w:val="000000" w:themeColor="text1"/>
          <w:sz w:val="32"/>
          <w:szCs w:val="32"/>
        </w:rPr>
      </w:pPr>
      <w:r>
        <w:rPr>
          <w:rFonts w:hint="eastAsia" w:ascii="黑体" w:hAnsi="黑体" w:eastAsia="黑体" w:cs="Times New Roman"/>
          <w:color w:val="000000" w:themeColor="text1"/>
          <w:sz w:val="32"/>
          <w:szCs w:val="32"/>
        </w:rPr>
        <w:t>——</w:t>
      </w:r>
      <w:r>
        <w:rPr>
          <w:rFonts w:hint="eastAsia" w:ascii="仿宋_GB2312" w:hAnsi="Times New Roman" w:eastAsia="仿宋_GB2312" w:cs="Times New Roman"/>
          <w:color w:val="000000" w:themeColor="text1"/>
          <w:sz w:val="32"/>
          <w:szCs w:val="32"/>
        </w:rPr>
        <w:t>一般公共预算收入增长</w:t>
      </w:r>
      <w:r>
        <w:rPr>
          <w:rFonts w:hint="eastAsia" w:ascii="Times New Roman" w:hAnsi="Times New Roman" w:eastAsia="仿宋_GB2312" w:cs="Times New Roman"/>
          <w:color w:val="000000" w:themeColor="text1"/>
          <w:sz w:val="32"/>
          <w:szCs w:val="32"/>
        </w:rPr>
        <w:t>5%</w:t>
      </w:r>
      <w:r>
        <w:rPr>
          <w:rFonts w:hint="eastAsia" w:ascii="仿宋_GB2312" w:hAnsi="Times New Roman" w:eastAsia="仿宋_GB2312" w:cs="Times New Roman"/>
          <w:color w:val="000000" w:themeColor="text1"/>
          <w:sz w:val="32"/>
          <w:szCs w:val="32"/>
        </w:rPr>
        <w:t>左右。一方面，经济恢复性增长，将为财政增收提供较为坚实的支撑。另一方面，政府债务化解、民生保障支出均需要财政收入保持一定的增速。</w:t>
      </w:r>
      <w:r>
        <w:rPr>
          <w:rFonts w:hint="eastAsia" w:ascii="Times New Roman" w:hAnsi="Times New Roman" w:eastAsia="仿宋_GB2312" w:cs="Times New Roman"/>
          <w:color w:val="000000" w:themeColor="text1"/>
          <w:sz w:val="32"/>
          <w:szCs w:val="32"/>
        </w:rPr>
        <w:t>2021</w:t>
      </w:r>
      <w:r>
        <w:rPr>
          <w:rFonts w:hint="eastAsia" w:ascii="仿宋_GB2312" w:hAnsi="Times New Roman" w:eastAsia="仿宋_GB2312" w:cs="Times New Roman"/>
          <w:color w:val="000000" w:themeColor="text1"/>
          <w:sz w:val="32"/>
          <w:szCs w:val="32"/>
        </w:rPr>
        <w:t>年全省安排一般公共预算收入增长</w:t>
      </w:r>
      <w:r>
        <w:rPr>
          <w:rFonts w:hint="eastAsia" w:ascii="Times New Roman" w:hAnsi="Times New Roman" w:eastAsia="仿宋_GB2312" w:cs="Times New Roman"/>
          <w:color w:val="000000" w:themeColor="text1"/>
          <w:sz w:val="32"/>
          <w:szCs w:val="32"/>
        </w:rPr>
        <w:t>4</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5%</w:t>
      </w:r>
      <w:r>
        <w:rPr>
          <w:rFonts w:hint="eastAsia" w:ascii="仿宋_GB2312" w:hAnsi="Times New Roman" w:eastAsia="仿宋_GB2312" w:cs="Times New Roman"/>
          <w:color w:val="000000" w:themeColor="text1"/>
          <w:sz w:val="32"/>
          <w:szCs w:val="32"/>
        </w:rPr>
        <w:t>左右，安排全市财政收入预期目标略高于全省平均水平，增长</w:t>
      </w:r>
      <w:r>
        <w:rPr>
          <w:rFonts w:hint="eastAsia" w:ascii="Times New Roman" w:hAnsi="Times New Roman" w:eastAsia="仿宋_GB2312" w:cs="Times New Roman"/>
          <w:color w:val="000000" w:themeColor="text1"/>
          <w:sz w:val="32"/>
          <w:szCs w:val="32"/>
        </w:rPr>
        <w:t>5%</w:t>
      </w:r>
      <w:r>
        <w:rPr>
          <w:rFonts w:hint="eastAsia" w:ascii="仿宋_GB2312" w:hAnsi="Times New Roman" w:eastAsia="仿宋_GB2312" w:cs="Times New Roman"/>
          <w:color w:val="000000" w:themeColor="text1"/>
          <w:sz w:val="32"/>
          <w:szCs w:val="32"/>
        </w:rPr>
        <w:t>左右。</w:t>
      </w:r>
    </w:p>
    <w:p>
      <w:pPr>
        <w:overflowPunct w:val="0"/>
        <w:spacing w:line="550" w:lineRule="exact"/>
        <w:ind w:firstLine="640" w:firstLineChars="200"/>
        <w:rPr>
          <w:rFonts w:ascii="仿宋_GB2312" w:hAnsi="Times New Roman" w:eastAsia="仿宋_GB2312" w:cs="Times New Roman"/>
          <w:color w:val="000000" w:themeColor="text1"/>
          <w:sz w:val="32"/>
          <w:szCs w:val="32"/>
        </w:rPr>
      </w:pPr>
      <w:r>
        <w:rPr>
          <w:rFonts w:hint="eastAsia" w:ascii="黑体" w:hAnsi="黑体" w:eastAsia="黑体" w:cs="Times New Roman"/>
          <w:color w:val="000000" w:themeColor="text1"/>
          <w:sz w:val="32"/>
          <w:szCs w:val="32"/>
        </w:rPr>
        <w:t>——</w:t>
      </w:r>
      <w:r>
        <w:rPr>
          <w:rFonts w:hint="eastAsia" w:ascii="仿宋_GB2312" w:hAnsi="Times New Roman" w:eastAsia="仿宋_GB2312" w:cs="Times New Roman"/>
          <w:color w:val="000000" w:themeColor="text1"/>
          <w:sz w:val="32"/>
          <w:szCs w:val="32"/>
        </w:rPr>
        <w:t>社会消费品零售总额增长</w:t>
      </w:r>
      <w:r>
        <w:rPr>
          <w:rFonts w:hint="eastAsia" w:ascii="Times New Roman" w:hAnsi="Times New Roman" w:eastAsia="仿宋_GB2312" w:cs="Times New Roman"/>
          <w:color w:val="000000" w:themeColor="text1"/>
          <w:sz w:val="32"/>
          <w:szCs w:val="32"/>
        </w:rPr>
        <w:t>7%</w:t>
      </w:r>
      <w:r>
        <w:rPr>
          <w:rFonts w:hint="eastAsia" w:ascii="仿宋_GB2312" w:hAnsi="Times New Roman" w:eastAsia="仿宋_GB2312" w:cs="Times New Roman"/>
          <w:color w:val="000000" w:themeColor="text1"/>
          <w:sz w:val="32"/>
          <w:szCs w:val="32"/>
        </w:rPr>
        <w:t>左右。消费是经济增长的重要拉动力，也是畅通国内大循环，构建国际国内双循环的重要指标之一，但从目前情况看，消费增长制约因素较多。我市社会消费品零售总额总量相对不大，加之上年基数相对较低，安排计划增长</w:t>
      </w:r>
      <w:r>
        <w:rPr>
          <w:rFonts w:hint="eastAsia" w:ascii="Times New Roman" w:hAnsi="Times New Roman" w:eastAsia="仿宋_GB2312" w:cs="Times New Roman"/>
          <w:color w:val="000000" w:themeColor="text1"/>
          <w:sz w:val="32"/>
          <w:szCs w:val="32"/>
        </w:rPr>
        <w:t>7%</w:t>
      </w:r>
      <w:r>
        <w:rPr>
          <w:rFonts w:hint="eastAsia" w:ascii="仿宋_GB2312" w:hAnsi="Times New Roman" w:eastAsia="仿宋_GB2312" w:cs="Times New Roman"/>
          <w:color w:val="000000" w:themeColor="text1"/>
          <w:sz w:val="32"/>
          <w:szCs w:val="32"/>
        </w:rPr>
        <w:t>左右，与地区生产总值增速持平。</w:t>
      </w:r>
    </w:p>
    <w:p>
      <w:pPr>
        <w:overflowPunct w:val="0"/>
        <w:spacing w:line="550" w:lineRule="exact"/>
        <w:ind w:firstLine="640" w:firstLineChars="200"/>
        <w:rPr>
          <w:rFonts w:ascii="仿宋_GB2312" w:hAnsi="Times New Roman" w:eastAsia="仿宋_GB2312" w:cs="Times New Roman"/>
          <w:color w:val="000000" w:themeColor="text1"/>
          <w:sz w:val="32"/>
          <w:szCs w:val="32"/>
        </w:rPr>
      </w:pPr>
      <w:r>
        <w:rPr>
          <w:rFonts w:hint="eastAsia" w:ascii="黑体" w:hAnsi="黑体" w:eastAsia="黑体" w:cs="Times New Roman"/>
          <w:color w:val="000000" w:themeColor="text1"/>
          <w:sz w:val="32"/>
          <w:szCs w:val="32"/>
        </w:rPr>
        <w:t>——</w:t>
      </w:r>
      <w:r>
        <w:rPr>
          <w:rFonts w:hint="eastAsia" w:ascii="仿宋_GB2312" w:hAnsi="Times New Roman" w:eastAsia="仿宋_GB2312" w:cs="Times New Roman"/>
          <w:color w:val="000000" w:themeColor="text1"/>
          <w:sz w:val="32"/>
          <w:szCs w:val="32"/>
        </w:rPr>
        <w:t>外贸进出口稳中提质，实际利用外资</w:t>
      </w:r>
      <w:r>
        <w:rPr>
          <w:rFonts w:hint="eastAsia" w:ascii="Times New Roman" w:hAnsi="Times New Roman" w:eastAsia="仿宋_GB2312" w:cs="Times New Roman"/>
          <w:color w:val="000000" w:themeColor="text1"/>
          <w:sz w:val="32"/>
          <w:szCs w:val="32"/>
        </w:rPr>
        <w:t>16</w:t>
      </w:r>
      <w:r>
        <w:rPr>
          <w:rFonts w:hint="eastAsia" w:ascii="仿宋_GB2312" w:hAnsi="Times New Roman" w:eastAsia="仿宋_GB2312" w:cs="Times New Roman"/>
          <w:color w:val="000000" w:themeColor="text1"/>
          <w:sz w:val="32"/>
          <w:szCs w:val="32"/>
        </w:rPr>
        <w:t>亿美元。</w:t>
      </w:r>
      <w:r>
        <w:rPr>
          <w:rFonts w:hint="eastAsia" w:ascii="Times New Roman" w:hAnsi="Times New Roman" w:eastAsia="仿宋_GB2312" w:cs="Times New Roman"/>
          <w:color w:val="000000" w:themeColor="text1"/>
          <w:sz w:val="32"/>
          <w:szCs w:val="32"/>
        </w:rPr>
        <w:t>2020</w:t>
      </w:r>
      <w:r>
        <w:rPr>
          <w:rFonts w:hint="eastAsia" w:ascii="仿宋_GB2312" w:hAnsi="Times New Roman" w:eastAsia="仿宋_GB2312" w:cs="Times New Roman"/>
          <w:color w:val="000000" w:themeColor="text1"/>
          <w:sz w:val="32"/>
          <w:szCs w:val="32"/>
        </w:rPr>
        <w:t>年全市对外贸易和实际利用外资难中求进，进出口总额总体平稳，实际利用外资逆势而上，实现了两位数增长。但开放型经济指标直接受制于国际国内环境，增长变数依然较大。全省对两项指标确定了“稳中提质”的定性目标，根据我市实际，确定外贸进出口稳中提质，实际利用外资</w:t>
      </w:r>
      <w:r>
        <w:rPr>
          <w:rFonts w:hint="eastAsia" w:ascii="Times New Roman" w:hAnsi="Times New Roman" w:eastAsia="仿宋_GB2312" w:cs="Times New Roman"/>
          <w:color w:val="000000" w:themeColor="text1"/>
          <w:sz w:val="32"/>
          <w:szCs w:val="32"/>
        </w:rPr>
        <w:t>16</w:t>
      </w:r>
      <w:r>
        <w:rPr>
          <w:rFonts w:hint="eastAsia" w:ascii="仿宋_GB2312" w:hAnsi="Times New Roman" w:eastAsia="仿宋_GB2312" w:cs="Times New Roman"/>
          <w:color w:val="000000" w:themeColor="text1"/>
          <w:sz w:val="32"/>
          <w:szCs w:val="32"/>
        </w:rPr>
        <w:t>亿美元。</w:t>
      </w:r>
    </w:p>
    <w:p>
      <w:pPr>
        <w:overflowPunct w:val="0"/>
        <w:spacing w:line="550" w:lineRule="exact"/>
        <w:ind w:firstLine="640" w:firstLineChars="200"/>
        <w:rPr>
          <w:rFonts w:ascii="仿宋_GB2312" w:hAnsi="Times New Roman" w:eastAsia="仿宋_GB2312" w:cs="Times New Roman"/>
          <w:color w:val="000000" w:themeColor="text1"/>
          <w:sz w:val="32"/>
          <w:szCs w:val="32"/>
        </w:rPr>
      </w:pPr>
      <w:r>
        <w:rPr>
          <w:rFonts w:hint="eastAsia" w:ascii="黑体" w:hAnsi="黑体" w:eastAsia="黑体" w:cs="Times New Roman"/>
          <w:color w:val="000000" w:themeColor="text1"/>
          <w:sz w:val="32"/>
          <w:szCs w:val="32"/>
        </w:rPr>
        <w:t>——</w:t>
      </w:r>
      <w:r>
        <w:rPr>
          <w:rFonts w:hint="eastAsia" w:ascii="仿宋_GB2312" w:hAnsi="Times New Roman" w:eastAsia="仿宋_GB2312" w:cs="Times New Roman"/>
          <w:color w:val="000000" w:themeColor="text1"/>
          <w:sz w:val="32"/>
          <w:szCs w:val="32"/>
        </w:rPr>
        <w:t>城乡居民收入稳步增长。在经济恢复性增长的形势下，随着国家和省、市在扩大就业、支持创业、完善保障等方面持续加大力度，城乡一体化加速推进，居民增收基础良好。</w:t>
      </w:r>
      <w:r>
        <w:rPr>
          <w:rFonts w:hint="eastAsia" w:ascii="Times New Roman" w:hAnsi="Times New Roman" w:eastAsia="仿宋_GB2312" w:cs="Times New Roman"/>
          <w:color w:val="000000" w:themeColor="text1"/>
          <w:sz w:val="32"/>
          <w:szCs w:val="32"/>
        </w:rPr>
        <w:t>2021</w:t>
      </w:r>
      <w:r>
        <w:rPr>
          <w:rFonts w:hint="eastAsia" w:ascii="仿宋_GB2312" w:hAnsi="Times New Roman" w:eastAsia="仿宋_GB2312" w:cs="Times New Roman"/>
          <w:color w:val="000000" w:themeColor="text1"/>
          <w:sz w:val="32"/>
          <w:szCs w:val="32"/>
        </w:rPr>
        <w:t>年我市居民收入指标增速安排与全省一致，在实现稳步增长的同时，着力缩小城乡居民收入差距。</w:t>
      </w:r>
    </w:p>
    <w:p>
      <w:pPr>
        <w:overflowPunct w:val="0"/>
        <w:spacing w:line="550" w:lineRule="exact"/>
        <w:ind w:firstLine="640" w:firstLineChars="200"/>
        <w:rPr>
          <w:rFonts w:ascii="仿宋_GB2312" w:hAnsi="Times New Roman" w:eastAsia="仿宋_GB2312" w:cs="Times New Roman"/>
          <w:color w:val="000000" w:themeColor="text1"/>
          <w:sz w:val="32"/>
          <w:szCs w:val="32"/>
        </w:rPr>
      </w:pPr>
      <w:r>
        <w:rPr>
          <w:rFonts w:hint="eastAsia" w:ascii="黑体" w:hAnsi="黑体" w:eastAsia="黑体" w:cs="Times New Roman"/>
          <w:color w:val="000000" w:themeColor="text1"/>
          <w:sz w:val="32"/>
          <w:szCs w:val="32"/>
        </w:rPr>
        <w:t>——</w:t>
      </w:r>
      <w:r>
        <w:rPr>
          <w:rFonts w:hint="eastAsia" w:ascii="仿宋_GB2312" w:hAnsi="Times New Roman" w:eastAsia="仿宋_GB2312" w:cs="Times New Roman"/>
          <w:color w:val="000000" w:themeColor="text1"/>
          <w:sz w:val="32"/>
          <w:szCs w:val="32"/>
        </w:rPr>
        <w:t>研发经费支出占地区生产总值比重</w:t>
      </w:r>
      <w:r>
        <w:rPr>
          <w:rFonts w:hint="eastAsia" w:ascii="Times New Roman"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66%</w:t>
      </w:r>
      <w:r>
        <w:rPr>
          <w:rFonts w:hint="eastAsia" w:ascii="仿宋_GB2312" w:hAnsi="Times New Roman" w:eastAsia="仿宋_GB2312" w:cs="Times New Roman"/>
          <w:color w:val="000000" w:themeColor="text1"/>
          <w:sz w:val="32"/>
          <w:szCs w:val="32"/>
        </w:rPr>
        <w:t>；城镇新增就业</w:t>
      </w:r>
      <w:r>
        <w:rPr>
          <w:rFonts w:hint="eastAsia" w:ascii="Times New Roman" w:hAnsi="Times New Roman" w:eastAsia="仿宋_GB2312" w:cs="Times New Roman"/>
          <w:color w:val="000000" w:themeColor="text1"/>
          <w:sz w:val="32"/>
          <w:szCs w:val="32"/>
        </w:rPr>
        <w:t>8</w:t>
      </w:r>
      <w:r>
        <w:rPr>
          <w:rFonts w:hint="eastAsia" w:ascii="仿宋_GB2312" w:hAnsi="Times New Roman" w:eastAsia="仿宋_GB2312" w:cs="Times New Roman"/>
          <w:color w:val="000000" w:themeColor="text1"/>
          <w:sz w:val="32"/>
          <w:szCs w:val="32"/>
        </w:rPr>
        <w:t>万人以上；城镇登记失业率</w:t>
      </w:r>
      <w:r>
        <w:rPr>
          <w:rFonts w:hint="eastAsia" w:ascii="Times New Roman" w:hAnsi="Times New Roman" w:eastAsia="仿宋_GB2312" w:cs="Times New Roman"/>
          <w:color w:val="000000" w:themeColor="text1"/>
          <w:sz w:val="32"/>
          <w:szCs w:val="32"/>
        </w:rPr>
        <w:t>3%</w:t>
      </w:r>
      <w:r>
        <w:rPr>
          <w:rFonts w:hint="eastAsia" w:ascii="仿宋_GB2312" w:hAnsi="Times New Roman" w:eastAsia="仿宋_GB2312" w:cs="Times New Roman"/>
          <w:color w:val="000000" w:themeColor="text1"/>
          <w:sz w:val="32"/>
          <w:szCs w:val="32"/>
        </w:rPr>
        <w:t>以内；居民消费价格涨幅</w:t>
      </w:r>
      <w:r>
        <w:rPr>
          <w:rFonts w:hint="eastAsia" w:ascii="Times New Roman" w:hAnsi="Times New Roman" w:eastAsia="仿宋_GB2312" w:cs="Times New Roman"/>
          <w:color w:val="000000" w:themeColor="text1"/>
          <w:sz w:val="32"/>
          <w:szCs w:val="32"/>
        </w:rPr>
        <w:t>3%</w:t>
      </w:r>
      <w:r>
        <w:rPr>
          <w:rFonts w:hint="eastAsia" w:ascii="仿宋_GB2312" w:hAnsi="Times New Roman" w:eastAsia="仿宋_GB2312" w:cs="Times New Roman"/>
          <w:color w:val="000000" w:themeColor="text1"/>
          <w:sz w:val="32"/>
          <w:szCs w:val="32"/>
        </w:rPr>
        <w:t>左右；节能减排完成省下目标任务；安全生产形势持续稳定向好，坚决防范重特大事故发生。</w:t>
      </w:r>
    </w:p>
    <w:p>
      <w:pPr>
        <w:overflowPunct w:val="0"/>
        <w:spacing w:line="550" w:lineRule="exact"/>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此外，与“十四五”规划和全省高质量考核指标体系相衔接，考虑指标的不同属性和目标的可下达性，研究提出六大类</w:t>
      </w:r>
      <w:r>
        <w:rPr>
          <w:rFonts w:hint="eastAsia" w:ascii="Times New Roman" w:hAnsi="Times New Roman" w:eastAsia="仿宋_GB2312" w:cs="Times New Roman"/>
          <w:color w:val="000000" w:themeColor="text1"/>
          <w:sz w:val="32"/>
          <w:szCs w:val="32"/>
        </w:rPr>
        <w:t>60</w:t>
      </w:r>
      <w:r>
        <w:rPr>
          <w:rFonts w:hint="eastAsia" w:ascii="仿宋_GB2312" w:hAnsi="Times New Roman" w:eastAsia="仿宋_GB2312" w:cs="Times New Roman"/>
          <w:color w:val="000000" w:themeColor="text1"/>
          <w:sz w:val="32"/>
          <w:szCs w:val="32"/>
        </w:rPr>
        <w:t>项指标计划（见表</w:t>
      </w:r>
      <w:r>
        <w:rPr>
          <w:rFonts w:hint="eastAsia" w:ascii="Times New Roman"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rPr>
        <w:t>）。</w:t>
      </w:r>
      <w:r>
        <w:rPr>
          <w:rFonts w:ascii="仿宋_GB2312" w:hAnsi="Times New Roman" w:eastAsia="仿宋_GB2312" w:cs="Times New Roman"/>
          <w:color w:val="000000" w:themeColor="text1"/>
          <w:sz w:val="32"/>
          <w:szCs w:val="32"/>
        </w:rPr>
        <w:br w:type="page"/>
      </w:r>
    </w:p>
    <w:p>
      <w:pPr>
        <w:overflowPunct w:val="0"/>
        <w:spacing w:afterLines="50" w:line="600" w:lineRule="exact"/>
        <w:jc w:val="center"/>
        <w:rPr>
          <w:rFonts w:ascii="Times New Roman" w:hAnsi="Times New Roman" w:eastAsia="黑体" w:cs="Times New Roman"/>
          <w:color w:val="000000" w:themeColor="text1"/>
          <w:sz w:val="30"/>
          <w:szCs w:val="30"/>
        </w:rPr>
      </w:pPr>
      <w:r>
        <w:rPr>
          <w:rFonts w:hint="eastAsia" w:ascii="Times New Roman" w:hAnsi="Times New Roman" w:eastAsia="黑体" w:cs="Times New Roman"/>
          <w:color w:val="000000" w:themeColor="text1"/>
          <w:sz w:val="30"/>
          <w:szCs w:val="30"/>
        </w:rPr>
        <w:t>表2  2021年全市经济社会发展计划（草案）</w:t>
      </w:r>
    </w:p>
    <w:tbl>
      <w:tblPr>
        <w:tblStyle w:val="7"/>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654"/>
        <w:gridCol w:w="4884"/>
        <w:gridCol w:w="2057"/>
        <w:gridCol w:w="124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70" w:type="pct"/>
            <w:tcBorders>
              <w:tl2br w:val="nil"/>
              <w:tr2bl w:val="nil"/>
            </w:tcBorders>
            <w:vAlign w:val="center"/>
          </w:tcPr>
          <w:p>
            <w:pPr>
              <w:widowControl/>
              <w:autoSpaceDN w:val="0"/>
              <w:spacing w:line="400" w:lineRule="exact"/>
              <w:jc w:val="center"/>
              <w:rPr>
                <w:rFonts w:ascii="Times New Roman" w:hAnsi="Times New Roman" w:eastAsia="方正黑体_GBK" w:cs="Times New Roman"/>
                <w:color w:val="000000" w:themeColor="text1"/>
                <w:kern w:val="0"/>
                <w:szCs w:val="21"/>
              </w:rPr>
            </w:pPr>
            <w:r>
              <w:rPr>
                <w:rFonts w:ascii="Times New Roman" w:hAnsi="Times New Roman" w:eastAsia="方正黑体_GBK" w:cs="Times New Roman"/>
                <w:color w:val="000000" w:themeColor="text1"/>
                <w:kern w:val="0"/>
                <w:szCs w:val="21"/>
              </w:rPr>
              <w:t>序号</w:t>
            </w:r>
          </w:p>
        </w:tc>
        <w:tc>
          <w:tcPr>
            <w:tcW w:w="2761" w:type="pct"/>
            <w:tcBorders>
              <w:tl2br w:val="nil"/>
              <w:tr2bl w:val="nil"/>
            </w:tcBorders>
            <w:vAlign w:val="center"/>
          </w:tcPr>
          <w:p>
            <w:pPr>
              <w:widowControl/>
              <w:autoSpaceDN w:val="0"/>
              <w:spacing w:line="400" w:lineRule="exact"/>
              <w:jc w:val="center"/>
              <w:rPr>
                <w:rFonts w:ascii="Times New Roman" w:hAnsi="Times New Roman" w:eastAsia="方正黑体_GBK" w:cs="Times New Roman"/>
                <w:color w:val="000000" w:themeColor="text1"/>
                <w:kern w:val="0"/>
                <w:szCs w:val="21"/>
              </w:rPr>
            </w:pPr>
            <w:r>
              <w:rPr>
                <w:rFonts w:ascii="Times New Roman" w:hAnsi="Times New Roman" w:eastAsia="方正黑体_GBK" w:cs="Times New Roman"/>
                <w:color w:val="000000" w:themeColor="text1"/>
                <w:kern w:val="0"/>
                <w:szCs w:val="21"/>
              </w:rPr>
              <w:t>指  标</w:t>
            </w:r>
            <w:r>
              <w:rPr>
                <w:rFonts w:hint="eastAsia" w:ascii="Times New Roman" w:hAnsi="Times New Roman" w:eastAsia="方正黑体_GBK" w:cs="Times New Roman"/>
                <w:color w:val="000000" w:themeColor="text1"/>
                <w:kern w:val="0"/>
                <w:szCs w:val="21"/>
              </w:rPr>
              <w:t xml:space="preserve">  名  称</w:t>
            </w:r>
          </w:p>
        </w:tc>
        <w:tc>
          <w:tcPr>
            <w:tcW w:w="1163" w:type="pct"/>
            <w:tcBorders>
              <w:tl2br w:val="nil"/>
              <w:tr2bl w:val="nil"/>
            </w:tcBorders>
            <w:vAlign w:val="center"/>
          </w:tcPr>
          <w:p>
            <w:pPr>
              <w:widowControl/>
              <w:autoSpaceDN w:val="0"/>
              <w:spacing w:line="400" w:lineRule="exact"/>
              <w:jc w:val="center"/>
              <w:rPr>
                <w:rFonts w:ascii="Times New Roman" w:hAnsi="Times New Roman" w:eastAsia="方正黑体_GBK" w:cs="Times New Roman"/>
                <w:color w:val="000000" w:themeColor="text1"/>
                <w:kern w:val="0"/>
                <w:szCs w:val="21"/>
              </w:rPr>
            </w:pPr>
            <w:r>
              <w:rPr>
                <w:rFonts w:hint="eastAsia" w:ascii="Times New Roman" w:hAnsi="Times New Roman" w:eastAsia="方正黑体_GBK" w:cs="Times New Roman"/>
                <w:color w:val="000000" w:themeColor="text1"/>
                <w:kern w:val="0"/>
                <w:szCs w:val="21"/>
              </w:rPr>
              <w:t>2021年计划</w:t>
            </w:r>
          </w:p>
        </w:tc>
        <w:tc>
          <w:tcPr>
            <w:tcW w:w="706" w:type="pct"/>
            <w:tcBorders>
              <w:tl2br w:val="nil"/>
              <w:tr2bl w:val="nil"/>
            </w:tcBorders>
            <w:vAlign w:val="center"/>
          </w:tcPr>
          <w:p>
            <w:pPr>
              <w:widowControl/>
              <w:autoSpaceDN w:val="0"/>
              <w:spacing w:line="400" w:lineRule="exact"/>
              <w:jc w:val="center"/>
              <w:rPr>
                <w:rFonts w:ascii="Times New Roman" w:hAnsi="Times New Roman" w:eastAsia="方正黑体_GBK" w:cs="Times New Roman"/>
                <w:color w:val="000000" w:themeColor="text1"/>
                <w:kern w:val="0"/>
                <w:szCs w:val="21"/>
              </w:rPr>
            </w:pPr>
            <w:r>
              <w:rPr>
                <w:rFonts w:hint="eastAsia" w:ascii="Times New Roman" w:hAnsi="Times New Roman" w:eastAsia="方正黑体_GBK" w:cs="Times New Roman"/>
                <w:color w:val="000000" w:themeColor="text1"/>
                <w:kern w:val="0"/>
                <w:szCs w:val="21"/>
              </w:rPr>
              <w:t>指标类型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131" w:type="pct"/>
            <w:gridSpan w:val="2"/>
            <w:tcBorders>
              <w:tl2br w:val="nil"/>
              <w:tr2bl w:val="nil"/>
            </w:tcBorders>
            <w:vAlign w:val="center"/>
          </w:tcPr>
          <w:p>
            <w:pPr>
              <w:widowControl/>
              <w:autoSpaceDN w:val="0"/>
              <w:spacing w:line="400" w:lineRule="exact"/>
              <w:jc w:val="center"/>
              <w:rPr>
                <w:rFonts w:ascii="Times New Roman" w:hAnsi="Times New Roman" w:cs="Times New Roman"/>
                <w:color w:val="000000" w:themeColor="text1"/>
                <w:kern w:val="0"/>
                <w:szCs w:val="21"/>
              </w:rPr>
            </w:pPr>
            <w:r>
              <w:rPr>
                <w:rFonts w:ascii="Times New Roman" w:hAnsi="Times New Roman" w:eastAsia="方正黑体_GBK" w:cs="Times New Roman"/>
                <w:color w:val="000000" w:themeColor="text1"/>
                <w:kern w:val="0"/>
                <w:szCs w:val="21"/>
              </w:rPr>
              <w:t>经济发展高质量</w:t>
            </w:r>
          </w:p>
        </w:tc>
        <w:tc>
          <w:tcPr>
            <w:tcW w:w="1163" w:type="pct"/>
            <w:tcBorders>
              <w:tl2br w:val="nil"/>
              <w:tr2bl w:val="nil"/>
            </w:tcBorders>
            <w:vAlign w:val="center"/>
          </w:tcPr>
          <w:p>
            <w:pPr>
              <w:widowControl/>
              <w:autoSpaceDN w:val="0"/>
              <w:spacing w:line="400" w:lineRule="exact"/>
              <w:jc w:val="center"/>
              <w:rPr>
                <w:rFonts w:ascii="Times New Roman" w:hAnsi="Times New Roman" w:eastAsia="方正黑体_GBK" w:cs="Times New Roman"/>
                <w:color w:val="000000" w:themeColor="text1"/>
                <w:kern w:val="0"/>
                <w:szCs w:val="21"/>
              </w:rPr>
            </w:pPr>
          </w:p>
        </w:tc>
        <w:tc>
          <w:tcPr>
            <w:tcW w:w="706" w:type="pct"/>
            <w:tcBorders>
              <w:tl2br w:val="nil"/>
              <w:tr2bl w:val="nil"/>
            </w:tcBorders>
            <w:vAlign w:val="center"/>
          </w:tcPr>
          <w:p>
            <w:pPr>
              <w:widowControl/>
              <w:autoSpaceDN w:val="0"/>
              <w:spacing w:line="400" w:lineRule="exact"/>
              <w:jc w:val="center"/>
              <w:rPr>
                <w:rFonts w:ascii="Times New Roman" w:hAnsi="Times New Roman" w:eastAsia="方正黑体_GBK" w:cs="Times New Roman"/>
                <w:color w:val="000000" w:themeColor="text1"/>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697" w:hRule="atLeast"/>
          <w:jc w:val="center"/>
        </w:trPr>
        <w:tc>
          <w:tcPr>
            <w:tcW w:w="370" w:type="pct"/>
            <w:tcBorders>
              <w:tl2br w:val="nil"/>
              <w:tr2bl w:val="nil"/>
            </w:tcBorders>
          </w:tcPr>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3</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4</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5</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6</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7</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8</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9</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10</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11</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12</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13</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14</w:t>
            </w:r>
          </w:p>
        </w:tc>
        <w:tc>
          <w:tcPr>
            <w:tcW w:w="2761" w:type="pct"/>
            <w:tcBorders>
              <w:tl2br w:val="nil"/>
              <w:tr2bl w:val="nil"/>
            </w:tcBorders>
          </w:tcPr>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地区生产总值</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制造业增加值占地区生产总值比重</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固定资产投资</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民间投资占固定资产投资比重</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居民人均消费支出</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研发经费支出占地区生产总值比重</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每万家企业法人中高新技术企业数</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工业战略性新兴产业产值占工业总产值比重</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技术合同成交额与地区生产总值之比</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亿元地区生产总值企业股权融资额</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普惠型金融领域贷款余额占比</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政府性债务率</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高技术产业投资占比</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每十亿元地区生产总值发明专利拥有量</w:t>
            </w:r>
          </w:p>
        </w:tc>
        <w:tc>
          <w:tcPr>
            <w:tcW w:w="1163" w:type="pct"/>
            <w:tcBorders>
              <w:tl2br w:val="nil"/>
              <w:tr2bl w:val="nil"/>
            </w:tcBorders>
          </w:tcPr>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7%</w:t>
            </w:r>
            <w:r>
              <w:rPr>
                <w:rFonts w:hint="eastAsia" w:ascii="仿宋_GB2312" w:hAnsi="宋体" w:eastAsia="仿宋_GB2312" w:cs="宋体"/>
                <w:color w:val="000000" w:themeColor="text1"/>
                <w:kern w:val="0"/>
                <w:szCs w:val="21"/>
              </w:rPr>
              <w:t>左右</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37%</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7%</w:t>
            </w:r>
            <w:r>
              <w:rPr>
                <w:rFonts w:hint="eastAsia" w:ascii="仿宋_GB2312" w:hAnsi="宋体" w:eastAsia="仿宋_GB2312" w:cs="宋体"/>
                <w:color w:val="000000" w:themeColor="text1"/>
                <w:kern w:val="0"/>
                <w:szCs w:val="21"/>
              </w:rPr>
              <w:t>以上</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80%</w:t>
            </w:r>
            <w:r>
              <w:rPr>
                <w:rFonts w:hint="eastAsia" w:ascii="仿宋_GB2312" w:hAnsi="宋体" w:eastAsia="仿宋_GB2312" w:cs="宋体"/>
                <w:color w:val="000000" w:themeColor="text1"/>
                <w:kern w:val="0"/>
                <w:szCs w:val="21"/>
              </w:rPr>
              <w:t>以上</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5%</w:t>
            </w:r>
            <w:r>
              <w:rPr>
                <w:rFonts w:hint="eastAsia" w:ascii="仿宋_GB2312" w:hAnsi="宋体" w:eastAsia="仿宋_GB2312" w:cs="宋体"/>
                <w:color w:val="000000" w:themeColor="text1"/>
                <w:kern w:val="0"/>
                <w:szCs w:val="21"/>
              </w:rPr>
              <w:t>左右</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w:t>
            </w:r>
            <w:r>
              <w:rPr>
                <w:rFonts w:hint="eastAsia" w:ascii="仿宋_GB2312" w:hAnsi="宋体" w:eastAsia="仿宋_GB2312" w:cs="宋体"/>
                <w:color w:val="000000" w:themeColor="text1"/>
                <w:kern w:val="0"/>
                <w:szCs w:val="21"/>
              </w:rPr>
              <w:t>.</w:t>
            </w:r>
            <w:r>
              <w:rPr>
                <w:rFonts w:hint="eastAsia" w:ascii="Times New Roman" w:hAnsi="Times New Roman" w:eastAsia="仿宋_GB2312" w:cs="宋体"/>
                <w:color w:val="000000" w:themeColor="text1"/>
                <w:kern w:val="0"/>
                <w:szCs w:val="21"/>
              </w:rPr>
              <w:t>66%</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180</w:t>
            </w:r>
            <w:r>
              <w:rPr>
                <w:rFonts w:hint="eastAsia" w:ascii="仿宋_GB2312" w:hAnsi="宋体" w:eastAsia="仿宋_GB2312" w:cs="宋体"/>
                <w:color w:val="000000" w:themeColor="text1"/>
                <w:kern w:val="0"/>
                <w:szCs w:val="21"/>
              </w:rPr>
              <w:t>家</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40%</w:t>
            </w:r>
            <w:r>
              <w:rPr>
                <w:rFonts w:hint="eastAsia" w:ascii="仿宋_GB2312" w:hAnsi="宋体" w:eastAsia="仿宋_GB2312" w:cs="宋体"/>
                <w:color w:val="000000" w:themeColor="text1"/>
                <w:kern w:val="0"/>
                <w:szCs w:val="21"/>
              </w:rPr>
              <w:t>左右</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w:t>
            </w:r>
            <w:r>
              <w:rPr>
                <w:rFonts w:hint="eastAsia" w:ascii="仿宋_GB2312" w:hAnsi="宋体" w:eastAsia="仿宋_GB2312" w:cs="宋体"/>
                <w:color w:val="000000" w:themeColor="text1"/>
                <w:kern w:val="0"/>
                <w:szCs w:val="21"/>
              </w:rPr>
              <w:t>左右</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60</w:t>
            </w:r>
            <w:r>
              <w:rPr>
                <w:rFonts w:hint="eastAsia" w:ascii="仿宋_GB2312" w:hAnsi="宋体" w:eastAsia="仿宋_GB2312" w:cs="宋体"/>
                <w:color w:val="000000" w:themeColor="text1"/>
                <w:kern w:val="0"/>
                <w:szCs w:val="21"/>
              </w:rPr>
              <w:t>万元左右</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18%</w:t>
            </w:r>
            <w:r>
              <w:rPr>
                <w:rFonts w:hint="eastAsia" w:ascii="仿宋_GB2312" w:hAnsi="宋体" w:eastAsia="仿宋_GB2312" w:cs="宋体"/>
                <w:color w:val="000000" w:themeColor="text1"/>
                <w:kern w:val="0"/>
                <w:szCs w:val="21"/>
              </w:rPr>
              <w:t>左右</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完成省下目标任务</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18%</w:t>
            </w:r>
            <w:r>
              <w:rPr>
                <w:rFonts w:hint="eastAsia" w:ascii="仿宋_GB2312" w:hAnsi="宋体" w:eastAsia="仿宋_GB2312" w:cs="宋体"/>
                <w:color w:val="000000" w:themeColor="text1"/>
                <w:kern w:val="0"/>
                <w:szCs w:val="21"/>
              </w:rPr>
              <w:t>以上</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18</w:t>
            </w:r>
            <w:r>
              <w:rPr>
                <w:rFonts w:hint="eastAsia" w:ascii="仿宋_GB2312" w:hAnsi="宋体" w:eastAsia="仿宋_GB2312" w:cs="宋体"/>
                <w:color w:val="000000" w:themeColor="text1"/>
                <w:kern w:val="0"/>
                <w:szCs w:val="21"/>
              </w:rPr>
              <w:t>件</w:t>
            </w:r>
          </w:p>
        </w:tc>
        <w:tc>
          <w:tcPr>
            <w:tcW w:w="706" w:type="pct"/>
            <w:tcBorders>
              <w:tl2br w:val="nil"/>
              <w:tr2bl w:val="nil"/>
            </w:tcBorders>
          </w:tcPr>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约束性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131" w:type="pct"/>
            <w:gridSpan w:val="2"/>
            <w:tcBorders>
              <w:tl2br w:val="nil"/>
              <w:tr2bl w:val="nil"/>
            </w:tcBorders>
            <w:vAlign w:val="center"/>
          </w:tcPr>
          <w:p>
            <w:pPr>
              <w:widowControl/>
              <w:autoSpaceDN w:val="0"/>
              <w:spacing w:line="400" w:lineRule="exact"/>
              <w:jc w:val="center"/>
              <w:rPr>
                <w:rFonts w:ascii="宋体" w:hAnsi="宋体" w:eastAsia="宋体" w:cs="宋体"/>
                <w:color w:val="000000" w:themeColor="text1"/>
                <w:kern w:val="0"/>
                <w:szCs w:val="21"/>
              </w:rPr>
            </w:pPr>
            <w:r>
              <w:rPr>
                <w:rFonts w:hint="eastAsia" w:ascii="Times New Roman" w:hAnsi="Times New Roman" w:eastAsia="方正黑体_GBK" w:cs="Times New Roman"/>
                <w:color w:val="000000" w:themeColor="text1"/>
                <w:kern w:val="0"/>
                <w:szCs w:val="21"/>
              </w:rPr>
              <w:t>改革开放高质量</w:t>
            </w:r>
          </w:p>
        </w:tc>
        <w:tc>
          <w:tcPr>
            <w:tcW w:w="1163" w:type="pct"/>
            <w:tcBorders>
              <w:tl2br w:val="nil"/>
              <w:tr2bl w:val="nil"/>
            </w:tcBorders>
            <w:vAlign w:val="center"/>
          </w:tcPr>
          <w:p>
            <w:pPr>
              <w:widowControl/>
              <w:autoSpaceDN w:val="0"/>
              <w:spacing w:line="400" w:lineRule="exact"/>
              <w:jc w:val="center"/>
              <w:rPr>
                <w:rFonts w:ascii="宋体" w:hAnsi="宋体" w:eastAsia="宋体" w:cs="宋体"/>
                <w:color w:val="000000" w:themeColor="text1"/>
                <w:kern w:val="0"/>
                <w:szCs w:val="21"/>
              </w:rPr>
            </w:pPr>
          </w:p>
        </w:tc>
        <w:tc>
          <w:tcPr>
            <w:tcW w:w="706" w:type="pct"/>
            <w:tcBorders>
              <w:tl2br w:val="nil"/>
              <w:tr2bl w:val="nil"/>
            </w:tcBorders>
            <w:vAlign w:val="center"/>
          </w:tcPr>
          <w:p>
            <w:pPr>
              <w:widowControl/>
              <w:autoSpaceDN w:val="0"/>
              <w:spacing w:line="400" w:lineRule="exact"/>
              <w:jc w:val="center"/>
              <w:rPr>
                <w:rFonts w:ascii="宋体" w:hAnsi="宋体" w:eastAsia="宋体" w:cs="宋体"/>
                <w:color w:val="000000" w:themeColor="text1"/>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60" w:hRule="atLeast"/>
          <w:jc w:val="center"/>
        </w:trPr>
        <w:tc>
          <w:tcPr>
            <w:tcW w:w="370" w:type="pct"/>
            <w:tcBorders>
              <w:tl2br w:val="nil"/>
              <w:tr2bl w:val="nil"/>
            </w:tcBorders>
          </w:tcPr>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15</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16</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17</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18</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19</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20</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21</w:t>
            </w:r>
          </w:p>
          <w:p>
            <w:pPr>
              <w:widowControl/>
              <w:autoSpaceDN w:val="0"/>
              <w:spacing w:line="400" w:lineRule="exact"/>
              <w:jc w:val="center"/>
              <w:rPr>
                <w:rFonts w:ascii="Times New Roman" w:hAnsi="Times New Roman" w:eastAsia="仿宋_GB2312" w:cs="宋体"/>
                <w:color w:val="000000" w:themeColor="text1"/>
                <w:kern w:val="0"/>
                <w:szCs w:val="21"/>
              </w:rPr>
            </w:pPr>
            <w:r>
              <w:rPr>
                <w:rFonts w:hint="eastAsia" w:ascii="Times New Roman" w:hAnsi="Times New Roman" w:eastAsia="仿宋_GB2312" w:cs="宋体"/>
                <w:color w:val="000000" w:themeColor="text1"/>
                <w:kern w:val="0"/>
                <w:szCs w:val="21"/>
              </w:rPr>
              <w:t>22</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23</w:t>
            </w:r>
          </w:p>
        </w:tc>
        <w:tc>
          <w:tcPr>
            <w:tcW w:w="2761" w:type="pct"/>
            <w:tcBorders>
              <w:tl2br w:val="nil"/>
              <w:tr2bl w:val="nil"/>
            </w:tcBorders>
          </w:tcPr>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营商便利度</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新增规上企业单位数</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进出口总额</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人均货物和服务贸易总额</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实际利用外资</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人均对外直接投资额</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人均高技术产品出口额</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人均知识密集型服务进出口额</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每万就业人员中外国高端人才和专业人才数</w:t>
            </w:r>
          </w:p>
        </w:tc>
        <w:tc>
          <w:tcPr>
            <w:tcW w:w="1163" w:type="pct"/>
            <w:tcBorders>
              <w:tl2br w:val="nil"/>
              <w:tr2bl w:val="nil"/>
            </w:tcBorders>
          </w:tcPr>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全省前列</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300</w:t>
            </w:r>
            <w:r>
              <w:rPr>
                <w:rFonts w:hint="eastAsia" w:ascii="仿宋_GB2312" w:hAnsi="宋体" w:eastAsia="仿宋_GB2312" w:cs="宋体"/>
                <w:color w:val="000000" w:themeColor="text1"/>
                <w:kern w:val="0"/>
                <w:szCs w:val="21"/>
              </w:rPr>
              <w:t>家</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稳中提质</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3000</w:t>
            </w:r>
            <w:r>
              <w:rPr>
                <w:rFonts w:hint="eastAsia" w:ascii="仿宋_GB2312" w:hAnsi="宋体" w:eastAsia="仿宋_GB2312" w:cs="宋体"/>
                <w:color w:val="000000" w:themeColor="text1"/>
                <w:kern w:val="0"/>
                <w:szCs w:val="21"/>
              </w:rPr>
              <w:t>美元</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16</w:t>
            </w:r>
            <w:r>
              <w:rPr>
                <w:rFonts w:hint="eastAsia" w:ascii="仿宋_GB2312" w:hAnsi="宋体" w:eastAsia="仿宋_GB2312" w:cs="宋体"/>
                <w:color w:val="000000" w:themeColor="text1"/>
                <w:kern w:val="0"/>
                <w:szCs w:val="21"/>
              </w:rPr>
              <w:t>亿美元</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37</w:t>
            </w:r>
            <w:r>
              <w:rPr>
                <w:rFonts w:hint="eastAsia" w:ascii="仿宋_GB2312" w:hAnsi="宋体" w:eastAsia="仿宋_GB2312" w:cs="宋体"/>
                <w:color w:val="000000" w:themeColor="text1"/>
                <w:kern w:val="0"/>
                <w:szCs w:val="21"/>
              </w:rPr>
              <w:t>美元</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120</w:t>
            </w:r>
            <w:r>
              <w:rPr>
                <w:rFonts w:hint="eastAsia" w:ascii="仿宋_GB2312" w:hAnsi="宋体" w:eastAsia="仿宋_GB2312" w:cs="宋体"/>
                <w:color w:val="000000" w:themeColor="text1"/>
                <w:kern w:val="0"/>
                <w:szCs w:val="21"/>
              </w:rPr>
              <w:t>美元</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90</w:t>
            </w:r>
            <w:r>
              <w:rPr>
                <w:rFonts w:hint="eastAsia" w:ascii="仿宋_GB2312" w:hAnsi="宋体" w:eastAsia="仿宋_GB2312" w:cs="宋体"/>
                <w:color w:val="000000" w:themeColor="text1"/>
                <w:kern w:val="0"/>
                <w:szCs w:val="21"/>
              </w:rPr>
              <w:t>美元</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w:t>
            </w:r>
            <w:r>
              <w:rPr>
                <w:rFonts w:hint="eastAsia" w:ascii="仿宋_GB2312" w:hAnsi="宋体" w:eastAsia="仿宋_GB2312" w:cs="宋体"/>
                <w:color w:val="000000" w:themeColor="text1"/>
                <w:kern w:val="0"/>
                <w:szCs w:val="21"/>
              </w:rPr>
              <w:t>.</w:t>
            </w:r>
            <w:r>
              <w:rPr>
                <w:rFonts w:hint="eastAsia" w:ascii="Times New Roman" w:hAnsi="Times New Roman" w:eastAsia="仿宋_GB2312" w:cs="宋体"/>
                <w:color w:val="000000" w:themeColor="text1"/>
                <w:kern w:val="0"/>
                <w:szCs w:val="21"/>
              </w:rPr>
              <w:t>3</w:t>
            </w:r>
            <w:r>
              <w:rPr>
                <w:rFonts w:hint="eastAsia" w:ascii="仿宋_GB2312" w:hAnsi="宋体" w:eastAsia="仿宋_GB2312" w:cs="宋体"/>
                <w:color w:val="000000" w:themeColor="text1"/>
                <w:kern w:val="0"/>
                <w:szCs w:val="21"/>
              </w:rPr>
              <w:t>左右</w:t>
            </w:r>
          </w:p>
        </w:tc>
        <w:tc>
          <w:tcPr>
            <w:tcW w:w="706" w:type="pct"/>
            <w:tcBorders>
              <w:tl2br w:val="nil"/>
              <w:tr2bl w:val="nil"/>
            </w:tcBorders>
          </w:tcPr>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70" w:type="pct"/>
            <w:tcBorders>
              <w:tl2br w:val="nil"/>
              <w:tr2bl w:val="nil"/>
            </w:tcBorders>
            <w:vAlign w:val="center"/>
          </w:tcPr>
          <w:p>
            <w:pPr>
              <w:widowControl/>
              <w:autoSpaceDN w:val="0"/>
              <w:spacing w:line="400" w:lineRule="exact"/>
              <w:jc w:val="center"/>
              <w:rPr>
                <w:rFonts w:ascii="宋体" w:hAnsi="宋体" w:eastAsia="宋体" w:cs="宋体"/>
                <w:color w:val="000000" w:themeColor="text1"/>
                <w:kern w:val="0"/>
                <w:szCs w:val="21"/>
              </w:rPr>
            </w:pPr>
          </w:p>
        </w:tc>
        <w:tc>
          <w:tcPr>
            <w:tcW w:w="2761" w:type="pct"/>
            <w:tcBorders>
              <w:tl2br w:val="nil"/>
              <w:tr2bl w:val="nil"/>
            </w:tcBorders>
            <w:vAlign w:val="center"/>
          </w:tcPr>
          <w:p>
            <w:pPr>
              <w:widowControl/>
              <w:autoSpaceDN w:val="0"/>
              <w:spacing w:line="400" w:lineRule="exact"/>
              <w:jc w:val="center"/>
              <w:rPr>
                <w:rFonts w:ascii="宋体" w:hAnsi="宋体" w:eastAsia="宋体" w:cs="宋体"/>
                <w:color w:val="000000" w:themeColor="text1"/>
                <w:kern w:val="0"/>
                <w:szCs w:val="21"/>
              </w:rPr>
            </w:pPr>
            <w:r>
              <w:rPr>
                <w:rFonts w:hint="eastAsia" w:ascii="Times New Roman" w:hAnsi="Times New Roman" w:eastAsia="方正黑体_GBK" w:cs="Times New Roman"/>
                <w:color w:val="000000" w:themeColor="text1"/>
                <w:kern w:val="0"/>
                <w:szCs w:val="21"/>
              </w:rPr>
              <w:t>城乡建设高质量</w:t>
            </w:r>
          </w:p>
        </w:tc>
        <w:tc>
          <w:tcPr>
            <w:tcW w:w="1163" w:type="pct"/>
            <w:tcBorders>
              <w:tl2br w:val="nil"/>
              <w:tr2bl w:val="nil"/>
            </w:tcBorders>
            <w:vAlign w:val="center"/>
          </w:tcPr>
          <w:p>
            <w:pPr>
              <w:widowControl/>
              <w:autoSpaceDN w:val="0"/>
              <w:spacing w:line="400" w:lineRule="exact"/>
              <w:jc w:val="center"/>
              <w:rPr>
                <w:rFonts w:ascii="宋体" w:hAnsi="宋体" w:eastAsia="宋体" w:cs="宋体"/>
                <w:color w:val="000000" w:themeColor="text1"/>
                <w:kern w:val="0"/>
                <w:szCs w:val="21"/>
              </w:rPr>
            </w:pPr>
          </w:p>
        </w:tc>
        <w:tc>
          <w:tcPr>
            <w:tcW w:w="706" w:type="pct"/>
            <w:tcBorders>
              <w:tl2br w:val="nil"/>
              <w:tr2bl w:val="nil"/>
            </w:tcBorders>
            <w:vAlign w:val="center"/>
          </w:tcPr>
          <w:p>
            <w:pPr>
              <w:widowControl/>
              <w:autoSpaceDN w:val="0"/>
              <w:spacing w:line="400" w:lineRule="exact"/>
              <w:jc w:val="center"/>
              <w:rPr>
                <w:rFonts w:ascii="宋体" w:hAnsi="宋体" w:eastAsia="宋体" w:cs="宋体"/>
                <w:color w:val="000000" w:themeColor="text1"/>
                <w:kern w:val="0"/>
                <w:szCs w:val="21"/>
              </w:rPr>
            </w:pPr>
          </w:p>
          <w:p>
            <w:pPr>
              <w:widowControl/>
              <w:autoSpaceDN w:val="0"/>
              <w:spacing w:line="400" w:lineRule="exact"/>
              <w:jc w:val="center"/>
              <w:rPr>
                <w:rFonts w:ascii="宋体" w:hAnsi="宋体" w:eastAsia="宋体" w:cs="宋体"/>
                <w:color w:val="000000" w:themeColor="text1"/>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70" w:type="pct"/>
            <w:tcBorders>
              <w:tl2br w:val="nil"/>
              <w:tr2bl w:val="nil"/>
            </w:tcBorders>
            <w:vAlign w:val="center"/>
          </w:tcPr>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24</w:t>
            </w:r>
          </w:p>
          <w:p>
            <w:pPr>
              <w:widowControl/>
              <w:autoSpaceDN w:val="0"/>
              <w:spacing w:line="400" w:lineRule="exact"/>
              <w:jc w:val="center"/>
              <w:rPr>
                <w:rFonts w:ascii="宋体" w:hAnsi="宋体" w:eastAsia="宋体" w:cs="宋体"/>
                <w:color w:val="000000" w:themeColor="text1"/>
                <w:kern w:val="0"/>
                <w:szCs w:val="21"/>
              </w:rPr>
            </w:pPr>
          </w:p>
          <w:p>
            <w:pPr>
              <w:widowControl/>
              <w:autoSpaceDN w:val="0"/>
              <w:spacing w:line="400" w:lineRule="exact"/>
              <w:jc w:val="center"/>
              <w:rPr>
                <w:rFonts w:ascii="宋体" w:hAnsi="宋体" w:eastAsia="宋体" w:cs="宋体"/>
                <w:color w:val="000000" w:themeColor="text1"/>
                <w:kern w:val="0"/>
                <w:szCs w:val="21"/>
              </w:rPr>
            </w:pPr>
          </w:p>
        </w:tc>
        <w:tc>
          <w:tcPr>
            <w:tcW w:w="2761" w:type="pct"/>
            <w:tcBorders>
              <w:tl2br w:val="nil"/>
              <w:tr2bl w:val="nil"/>
            </w:tcBorders>
            <w:vAlign w:val="center"/>
          </w:tcPr>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常住人口城镇化率</w:t>
            </w:r>
          </w:p>
          <w:p>
            <w:pPr>
              <w:widowControl/>
              <w:autoSpaceDN w:val="0"/>
              <w:spacing w:line="400" w:lineRule="exact"/>
              <w:jc w:val="center"/>
              <w:rPr>
                <w:rFonts w:ascii="Times New Roman" w:hAnsi="Times New Roman" w:eastAsia="方正黑体_GBK" w:cs="Times New Roman"/>
                <w:color w:val="000000" w:themeColor="text1"/>
                <w:kern w:val="0"/>
                <w:szCs w:val="21"/>
              </w:rPr>
            </w:pPr>
          </w:p>
        </w:tc>
        <w:tc>
          <w:tcPr>
            <w:tcW w:w="1163" w:type="pct"/>
            <w:tcBorders>
              <w:tl2br w:val="nil"/>
              <w:tr2bl w:val="nil"/>
            </w:tcBorders>
            <w:vAlign w:val="center"/>
          </w:tcPr>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70%</w:t>
            </w:r>
            <w:r>
              <w:rPr>
                <w:rFonts w:hint="eastAsia" w:ascii="仿宋_GB2312" w:hAnsi="宋体" w:eastAsia="仿宋_GB2312" w:cs="宋体"/>
                <w:color w:val="000000" w:themeColor="text1"/>
                <w:kern w:val="0"/>
                <w:szCs w:val="21"/>
              </w:rPr>
              <w:t>左右</w:t>
            </w:r>
          </w:p>
          <w:p>
            <w:pPr>
              <w:widowControl/>
              <w:autoSpaceDN w:val="0"/>
              <w:spacing w:line="400" w:lineRule="exact"/>
              <w:jc w:val="center"/>
              <w:rPr>
                <w:rFonts w:ascii="宋体" w:hAnsi="宋体" w:eastAsia="宋体" w:cs="宋体"/>
                <w:color w:val="000000" w:themeColor="text1"/>
                <w:kern w:val="0"/>
                <w:szCs w:val="21"/>
              </w:rPr>
            </w:pPr>
          </w:p>
        </w:tc>
        <w:tc>
          <w:tcPr>
            <w:tcW w:w="706" w:type="pct"/>
            <w:tcBorders>
              <w:tl2br w:val="nil"/>
              <w:tr2bl w:val="nil"/>
            </w:tcBorders>
            <w:vAlign w:val="center"/>
          </w:tcPr>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宋体" w:hAnsi="宋体" w:eastAsia="宋体" w:cs="宋体"/>
                <w:color w:val="000000" w:themeColor="text1"/>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61" w:hRule="exact"/>
          <w:jc w:val="center"/>
        </w:trPr>
        <w:tc>
          <w:tcPr>
            <w:tcW w:w="370" w:type="pct"/>
            <w:tcBorders>
              <w:tl2br w:val="nil"/>
              <w:tr2bl w:val="nil"/>
            </w:tcBorders>
          </w:tcPr>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25</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26</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27</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28</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29</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30</w:t>
            </w:r>
          </w:p>
        </w:tc>
        <w:tc>
          <w:tcPr>
            <w:tcW w:w="2761" w:type="pct"/>
            <w:tcBorders>
              <w:tl2br w:val="nil"/>
              <w:tr2bl w:val="nil"/>
            </w:tcBorders>
          </w:tcPr>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粮食总产量</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乡村振兴实绩水平</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美丽宜居城市建设水平</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农业劳动生产率</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城镇棚户区（危旧房）改造覆盖率</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土地征收成片开发面积</w:t>
            </w:r>
          </w:p>
        </w:tc>
        <w:tc>
          <w:tcPr>
            <w:tcW w:w="1163" w:type="pct"/>
            <w:tcBorders>
              <w:tl2br w:val="nil"/>
              <w:tr2bl w:val="nil"/>
            </w:tcBorders>
          </w:tcPr>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280</w:t>
            </w:r>
            <w:r>
              <w:rPr>
                <w:rFonts w:hint="eastAsia" w:ascii="仿宋_GB2312" w:hAnsi="宋体" w:eastAsia="仿宋_GB2312" w:cs="宋体"/>
                <w:color w:val="000000" w:themeColor="text1"/>
                <w:kern w:val="0"/>
                <w:szCs w:val="21"/>
              </w:rPr>
              <w:t>万吨以上</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完成省下目标任务</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完成省下目标任务</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w:t>
            </w:r>
            <w:r>
              <w:rPr>
                <w:rFonts w:hint="eastAsia" w:ascii="仿宋_GB2312" w:hAnsi="宋体" w:eastAsia="仿宋_GB2312" w:cs="宋体"/>
                <w:color w:val="000000" w:themeColor="text1"/>
                <w:kern w:val="0"/>
                <w:szCs w:val="21"/>
              </w:rPr>
              <w:t>左右</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完成省下目标任务</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完成市级方案目标</w:t>
            </w:r>
          </w:p>
        </w:tc>
        <w:tc>
          <w:tcPr>
            <w:tcW w:w="706" w:type="pct"/>
            <w:tcBorders>
              <w:tl2br w:val="nil"/>
              <w:tr2bl w:val="nil"/>
            </w:tcBorders>
          </w:tcPr>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约束性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131" w:type="pct"/>
            <w:gridSpan w:val="2"/>
            <w:tcBorders>
              <w:tl2br w:val="nil"/>
              <w:tr2bl w:val="nil"/>
            </w:tcBorders>
            <w:vAlign w:val="center"/>
          </w:tcPr>
          <w:p>
            <w:pPr>
              <w:widowControl/>
              <w:autoSpaceDN w:val="0"/>
              <w:spacing w:line="400" w:lineRule="exact"/>
              <w:jc w:val="center"/>
              <w:rPr>
                <w:rFonts w:ascii="Times New Roman" w:hAnsi="Times New Roman" w:eastAsia="方正黑体_GBK" w:cs="Times New Roman"/>
                <w:color w:val="000000" w:themeColor="text1"/>
                <w:kern w:val="0"/>
                <w:szCs w:val="21"/>
              </w:rPr>
            </w:pPr>
            <w:r>
              <w:rPr>
                <w:rFonts w:hint="eastAsia" w:ascii="Times New Roman" w:hAnsi="Times New Roman" w:eastAsia="方正黑体_GBK" w:cs="Times New Roman"/>
                <w:color w:val="000000" w:themeColor="text1"/>
                <w:kern w:val="0"/>
                <w:szCs w:val="21"/>
              </w:rPr>
              <w:t>文化建设高质量</w:t>
            </w:r>
          </w:p>
        </w:tc>
        <w:tc>
          <w:tcPr>
            <w:tcW w:w="1163" w:type="pct"/>
            <w:tcBorders>
              <w:tl2br w:val="nil"/>
              <w:tr2bl w:val="nil"/>
            </w:tcBorders>
            <w:vAlign w:val="center"/>
          </w:tcPr>
          <w:p>
            <w:pPr>
              <w:widowControl/>
              <w:autoSpaceDN w:val="0"/>
              <w:spacing w:line="400" w:lineRule="exact"/>
              <w:jc w:val="center"/>
              <w:rPr>
                <w:rFonts w:ascii="宋体" w:hAnsi="宋体" w:eastAsia="宋体" w:cs="宋体"/>
                <w:color w:val="000000" w:themeColor="text1"/>
                <w:kern w:val="0"/>
                <w:szCs w:val="21"/>
              </w:rPr>
            </w:pPr>
          </w:p>
        </w:tc>
        <w:tc>
          <w:tcPr>
            <w:tcW w:w="706" w:type="pct"/>
            <w:tcBorders>
              <w:tl2br w:val="nil"/>
              <w:tr2bl w:val="nil"/>
            </w:tcBorders>
            <w:vAlign w:val="center"/>
          </w:tcPr>
          <w:p>
            <w:pPr>
              <w:widowControl/>
              <w:autoSpaceDN w:val="0"/>
              <w:spacing w:line="400" w:lineRule="exact"/>
              <w:jc w:val="center"/>
              <w:rPr>
                <w:rFonts w:ascii="宋体" w:hAnsi="宋体" w:eastAsia="宋体" w:cs="宋体"/>
                <w:color w:val="000000" w:themeColor="text1"/>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93" w:hRule="exact"/>
          <w:jc w:val="center"/>
        </w:trPr>
        <w:tc>
          <w:tcPr>
            <w:tcW w:w="370" w:type="pct"/>
            <w:tcBorders>
              <w:tl2br w:val="nil"/>
              <w:tr2bl w:val="nil"/>
            </w:tcBorders>
          </w:tcPr>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31</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32</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33</w:t>
            </w:r>
          </w:p>
          <w:p>
            <w:pPr>
              <w:widowControl/>
              <w:autoSpaceDN w:val="0"/>
              <w:spacing w:line="400" w:lineRule="exact"/>
              <w:jc w:val="center"/>
              <w:rPr>
                <w:rFonts w:ascii="仿宋_GB2312" w:hAnsi="宋体" w:eastAsia="仿宋_GB2312" w:cs="宋体"/>
                <w:color w:val="000000" w:themeColor="text1"/>
                <w:spacing w:val="-20"/>
                <w:kern w:val="0"/>
                <w:szCs w:val="21"/>
              </w:rPr>
            </w:pPr>
            <w:r>
              <w:rPr>
                <w:rFonts w:hint="eastAsia" w:ascii="Times New Roman" w:hAnsi="Times New Roman" w:eastAsia="仿宋_GB2312" w:cs="宋体"/>
                <w:color w:val="000000" w:themeColor="text1"/>
                <w:spacing w:val="-20"/>
                <w:kern w:val="0"/>
                <w:szCs w:val="21"/>
              </w:rPr>
              <w:t>34</w:t>
            </w:r>
          </w:p>
          <w:p>
            <w:pPr>
              <w:widowControl/>
              <w:autoSpaceDN w:val="0"/>
              <w:spacing w:line="400" w:lineRule="exact"/>
              <w:jc w:val="center"/>
              <w:rPr>
                <w:rFonts w:ascii="仿宋_GB2312" w:hAnsi="宋体" w:eastAsia="仿宋_GB2312" w:cs="宋体"/>
                <w:color w:val="000000" w:themeColor="text1"/>
                <w:spacing w:val="-20"/>
                <w:kern w:val="0"/>
                <w:szCs w:val="21"/>
              </w:rPr>
            </w:pPr>
            <w:r>
              <w:rPr>
                <w:rFonts w:hint="eastAsia" w:ascii="Times New Roman" w:hAnsi="Times New Roman" w:eastAsia="仿宋_GB2312" w:cs="宋体"/>
                <w:color w:val="000000" w:themeColor="text1"/>
                <w:spacing w:val="-20"/>
                <w:kern w:val="0"/>
                <w:szCs w:val="21"/>
              </w:rPr>
              <w:t>35</w:t>
            </w:r>
          </w:p>
        </w:tc>
        <w:tc>
          <w:tcPr>
            <w:tcW w:w="2761" w:type="pct"/>
            <w:tcBorders>
              <w:tl2br w:val="nil"/>
              <w:tr2bl w:val="nil"/>
            </w:tcBorders>
          </w:tcPr>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社会文明程度测评指数</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文化产业增加值占地区生产总值比重</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人均接受文化场馆服务次数</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全民阅读指数</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注册志愿者人数占城镇常住人口比重</w:t>
            </w:r>
          </w:p>
        </w:tc>
        <w:tc>
          <w:tcPr>
            <w:tcW w:w="1163" w:type="pct"/>
            <w:tcBorders>
              <w:tl2br w:val="nil"/>
              <w:tr2bl w:val="nil"/>
            </w:tcBorders>
          </w:tcPr>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90%</w:t>
            </w:r>
            <w:r>
              <w:rPr>
                <w:rFonts w:hint="eastAsia" w:ascii="仿宋_GB2312" w:hAnsi="宋体" w:eastAsia="仿宋_GB2312" w:cs="宋体"/>
                <w:color w:val="000000" w:themeColor="text1"/>
                <w:kern w:val="0"/>
                <w:szCs w:val="21"/>
              </w:rPr>
              <w:t>左右</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4</w:t>
            </w:r>
            <w:r>
              <w:rPr>
                <w:rFonts w:hint="eastAsia" w:ascii="仿宋_GB2312" w:hAnsi="宋体" w:eastAsia="仿宋_GB2312" w:cs="宋体"/>
                <w:color w:val="000000" w:themeColor="text1"/>
                <w:kern w:val="0"/>
                <w:szCs w:val="21"/>
              </w:rPr>
              <w:t>.</w:t>
            </w:r>
            <w:r>
              <w:rPr>
                <w:rFonts w:hint="eastAsia" w:ascii="Times New Roman" w:hAnsi="Times New Roman" w:eastAsia="仿宋_GB2312" w:cs="宋体"/>
                <w:color w:val="000000" w:themeColor="text1"/>
                <w:kern w:val="0"/>
                <w:szCs w:val="21"/>
              </w:rPr>
              <w:t>3%</w:t>
            </w:r>
            <w:r>
              <w:rPr>
                <w:rFonts w:hint="eastAsia" w:ascii="仿宋_GB2312" w:hAnsi="宋体" w:eastAsia="仿宋_GB2312" w:cs="宋体"/>
                <w:color w:val="000000" w:themeColor="text1"/>
                <w:kern w:val="0"/>
                <w:szCs w:val="21"/>
              </w:rPr>
              <w:t>左右</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w:t>
            </w:r>
            <w:r>
              <w:rPr>
                <w:rFonts w:hint="eastAsia" w:ascii="仿宋_GB2312" w:hAnsi="宋体" w:eastAsia="仿宋_GB2312" w:cs="宋体"/>
                <w:color w:val="000000" w:themeColor="text1"/>
                <w:kern w:val="0"/>
                <w:szCs w:val="21"/>
              </w:rPr>
              <w:t>以上</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75%</w:t>
            </w:r>
            <w:r>
              <w:rPr>
                <w:rFonts w:hint="eastAsia" w:ascii="仿宋_GB2312" w:hAnsi="宋体" w:eastAsia="仿宋_GB2312" w:cs="宋体"/>
                <w:color w:val="000000" w:themeColor="text1"/>
                <w:kern w:val="0"/>
                <w:szCs w:val="21"/>
              </w:rPr>
              <w:t>以上</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15%</w:t>
            </w:r>
            <w:r>
              <w:rPr>
                <w:rFonts w:hint="eastAsia" w:ascii="仿宋_GB2312" w:hAnsi="宋体" w:eastAsia="仿宋_GB2312" w:cs="宋体"/>
                <w:color w:val="000000" w:themeColor="text1"/>
                <w:kern w:val="0"/>
                <w:szCs w:val="21"/>
              </w:rPr>
              <w:t>左右</w:t>
            </w:r>
          </w:p>
        </w:tc>
        <w:tc>
          <w:tcPr>
            <w:tcW w:w="706" w:type="pct"/>
            <w:tcBorders>
              <w:tl2br w:val="nil"/>
              <w:tr2bl w:val="nil"/>
            </w:tcBorders>
          </w:tcPr>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131" w:type="pct"/>
            <w:gridSpan w:val="2"/>
            <w:tcBorders>
              <w:tl2br w:val="nil"/>
              <w:tr2bl w:val="nil"/>
            </w:tcBorders>
            <w:vAlign w:val="center"/>
          </w:tcPr>
          <w:p>
            <w:pPr>
              <w:widowControl/>
              <w:autoSpaceDN w:val="0"/>
              <w:spacing w:line="400" w:lineRule="exact"/>
              <w:jc w:val="center"/>
              <w:rPr>
                <w:rFonts w:ascii="宋体" w:hAnsi="宋体" w:eastAsia="宋体" w:cs="宋体"/>
                <w:color w:val="000000" w:themeColor="text1"/>
                <w:kern w:val="0"/>
                <w:szCs w:val="21"/>
              </w:rPr>
            </w:pPr>
            <w:r>
              <w:rPr>
                <w:rFonts w:hint="eastAsia" w:ascii="Times New Roman" w:hAnsi="Times New Roman" w:eastAsia="方正黑体_GBK" w:cs="Times New Roman"/>
                <w:color w:val="000000" w:themeColor="text1"/>
                <w:kern w:val="0"/>
                <w:szCs w:val="21"/>
              </w:rPr>
              <w:t>生态环境高质量</w:t>
            </w:r>
          </w:p>
        </w:tc>
        <w:tc>
          <w:tcPr>
            <w:tcW w:w="1163" w:type="pct"/>
            <w:tcBorders>
              <w:tl2br w:val="nil"/>
              <w:tr2bl w:val="nil"/>
            </w:tcBorders>
            <w:vAlign w:val="center"/>
          </w:tcPr>
          <w:p>
            <w:pPr>
              <w:widowControl/>
              <w:autoSpaceDN w:val="0"/>
              <w:spacing w:line="400" w:lineRule="exact"/>
              <w:jc w:val="center"/>
              <w:rPr>
                <w:rFonts w:ascii="宋体" w:hAnsi="宋体" w:eastAsia="宋体" w:cs="宋体"/>
                <w:color w:val="000000" w:themeColor="text1"/>
                <w:kern w:val="0"/>
                <w:szCs w:val="21"/>
              </w:rPr>
            </w:pPr>
          </w:p>
        </w:tc>
        <w:tc>
          <w:tcPr>
            <w:tcW w:w="706" w:type="pct"/>
            <w:tcBorders>
              <w:tl2br w:val="nil"/>
              <w:tr2bl w:val="nil"/>
            </w:tcBorders>
            <w:vAlign w:val="center"/>
          </w:tcPr>
          <w:p>
            <w:pPr>
              <w:widowControl/>
              <w:autoSpaceDN w:val="0"/>
              <w:spacing w:line="400" w:lineRule="exact"/>
              <w:jc w:val="center"/>
              <w:rPr>
                <w:rFonts w:ascii="宋体" w:hAnsi="宋体" w:eastAsia="宋体" w:cs="宋体"/>
                <w:color w:val="000000" w:themeColor="text1"/>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26" w:hRule="atLeast"/>
          <w:jc w:val="center"/>
        </w:trPr>
        <w:tc>
          <w:tcPr>
            <w:tcW w:w="370" w:type="pct"/>
            <w:tcBorders>
              <w:tl2br w:val="nil"/>
              <w:tr2bl w:val="nil"/>
            </w:tcBorders>
          </w:tcPr>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36</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37</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38</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39</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40</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41</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42</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43</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44</w:t>
            </w:r>
          </w:p>
        </w:tc>
        <w:tc>
          <w:tcPr>
            <w:tcW w:w="2761" w:type="pct"/>
            <w:tcBorders>
              <w:tl2br w:val="nil"/>
              <w:tr2bl w:val="nil"/>
            </w:tcBorders>
          </w:tcPr>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单位地区生产总值能耗</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单位地区生产总值建设用地使用面积</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PM</w:t>
            </w:r>
            <w:r>
              <w:rPr>
                <w:rFonts w:hint="eastAsia" w:ascii="Times New Roman" w:hAnsi="Times New Roman" w:eastAsia="仿宋_GB2312" w:cs="宋体"/>
                <w:color w:val="000000" w:themeColor="text1"/>
                <w:kern w:val="0"/>
                <w:szCs w:val="21"/>
                <w:vertAlign w:val="subscript"/>
              </w:rPr>
              <w:t>2</w:t>
            </w:r>
            <w:r>
              <w:rPr>
                <w:rFonts w:hint="eastAsia" w:ascii="仿宋_GB2312" w:hAnsi="宋体" w:eastAsia="仿宋_GB2312" w:cs="宋体"/>
                <w:color w:val="000000" w:themeColor="text1"/>
                <w:kern w:val="0"/>
                <w:szCs w:val="21"/>
                <w:vertAlign w:val="subscript"/>
              </w:rPr>
              <w:t>.</w:t>
            </w:r>
            <w:r>
              <w:rPr>
                <w:rFonts w:hint="eastAsia" w:ascii="Times New Roman" w:hAnsi="Times New Roman" w:eastAsia="仿宋_GB2312" w:cs="宋体"/>
                <w:color w:val="000000" w:themeColor="text1"/>
                <w:kern w:val="0"/>
                <w:szCs w:val="21"/>
                <w:vertAlign w:val="subscript"/>
              </w:rPr>
              <w:t>5</w:t>
            </w:r>
            <w:r>
              <w:rPr>
                <w:rFonts w:hint="eastAsia" w:ascii="仿宋_GB2312" w:hAnsi="宋体" w:eastAsia="仿宋_GB2312" w:cs="宋体"/>
                <w:color w:val="000000" w:themeColor="text1"/>
                <w:kern w:val="0"/>
                <w:szCs w:val="21"/>
              </w:rPr>
              <w:t>年均浓度及空气质量优良天数比例</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地表水达到或好于Ⅲ类水质比例</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林木覆盖率</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垃圾分类集中处理率</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单位地区生产总值用水量</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主要大气污染物排放量</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主要水污染物排放量</w:t>
            </w:r>
          </w:p>
        </w:tc>
        <w:tc>
          <w:tcPr>
            <w:tcW w:w="1163" w:type="pct"/>
            <w:tcBorders>
              <w:tl2br w:val="nil"/>
              <w:tr2bl w:val="nil"/>
            </w:tcBorders>
          </w:tcPr>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完成省下目标任务</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完成省下目标任务</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完成省下目标任务</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完成省下目标任务</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25%</w:t>
            </w:r>
            <w:r>
              <w:rPr>
                <w:rFonts w:hint="eastAsia" w:ascii="仿宋_GB2312" w:hAnsi="宋体" w:eastAsia="仿宋_GB2312" w:cs="宋体"/>
                <w:color w:val="000000" w:themeColor="text1"/>
                <w:kern w:val="0"/>
                <w:szCs w:val="21"/>
              </w:rPr>
              <w:t>以上</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80%</w:t>
            </w:r>
            <w:r>
              <w:rPr>
                <w:rFonts w:hint="eastAsia" w:ascii="仿宋_GB2312" w:hAnsi="宋体" w:eastAsia="仿宋_GB2312" w:cs="宋体"/>
                <w:color w:val="000000" w:themeColor="text1"/>
                <w:kern w:val="0"/>
                <w:szCs w:val="21"/>
              </w:rPr>
              <w:t>以上</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完成省下目标任务</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完成省下目标任务</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完成省下目标任务</w:t>
            </w:r>
          </w:p>
        </w:tc>
        <w:tc>
          <w:tcPr>
            <w:tcW w:w="706" w:type="pct"/>
            <w:tcBorders>
              <w:tl2br w:val="nil"/>
              <w:tr2bl w:val="nil"/>
            </w:tcBorders>
          </w:tcPr>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约束性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约束性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约束性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约束性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约束性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约束性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约束性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131" w:type="pct"/>
            <w:gridSpan w:val="2"/>
            <w:tcBorders>
              <w:tl2br w:val="nil"/>
              <w:tr2bl w:val="nil"/>
            </w:tcBorders>
            <w:vAlign w:val="center"/>
          </w:tcPr>
          <w:p>
            <w:pPr>
              <w:widowControl/>
              <w:autoSpaceDN w:val="0"/>
              <w:spacing w:line="400" w:lineRule="exact"/>
              <w:jc w:val="center"/>
              <w:rPr>
                <w:rFonts w:ascii="宋体" w:hAnsi="宋体" w:eastAsia="宋体" w:cs="宋体"/>
                <w:color w:val="000000" w:themeColor="text1"/>
                <w:kern w:val="0"/>
                <w:szCs w:val="21"/>
              </w:rPr>
            </w:pPr>
            <w:r>
              <w:rPr>
                <w:rFonts w:hint="eastAsia" w:ascii="Times New Roman" w:hAnsi="Times New Roman" w:eastAsia="方正黑体_GBK" w:cs="Times New Roman"/>
                <w:color w:val="000000" w:themeColor="text1"/>
                <w:kern w:val="0"/>
                <w:szCs w:val="21"/>
              </w:rPr>
              <w:t>人民生活高质量</w:t>
            </w:r>
          </w:p>
        </w:tc>
        <w:tc>
          <w:tcPr>
            <w:tcW w:w="1163" w:type="pct"/>
            <w:tcBorders>
              <w:tl2br w:val="nil"/>
              <w:tr2bl w:val="nil"/>
            </w:tcBorders>
            <w:vAlign w:val="center"/>
          </w:tcPr>
          <w:p>
            <w:pPr>
              <w:widowControl/>
              <w:autoSpaceDN w:val="0"/>
              <w:spacing w:line="400" w:lineRule="exact"/>
              <w:jc w:val="center"/>
              <w:rPr>
                <w:rFonts w:ascii="宋体" w:hAnsi="宋体" w:eastAsia="宋体" w:cs="宋体"/>
                <w:color w:val="000000" w:themeColor="text1"/>
                <w:kern w:val="0"/>
                <w:szCs w:val="21"/>
              </w:rPr>
            </w:pPr>
          </w:p>
        </w:tc>
        <w:tc>
          <w:tcPr>
            <w:tcW w:w="706" w:type="pct"/>
            <w:tcBorders>
              <w:tl2br w:val="nil"/>
              <w:tr2bl w:val="nil"/>
            </w:tcBorders>
            <w:vAlign w:val="center"/>
          </w:tcPr>
          <w:p>
            <w:pPr>
              <w:widowControl/>
              <w:autoSpaceDN w:val="0"/>
              <w:spacing w:line="400" w:lineRule="exact"/>
              <w:jc w:val="center"/>
              <w:rPr>
                <w:rFonts w:ascii="宋体" w:hAnsi="宋体" w:eastAsia="宋体" w:cs="宋体"/>
                <w:color w:val="000000" w:themeColor="text1"/>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47" w:hRule="atLeast"/>
          <w:jc w:val="center"/>
        </w:trPr>
        <w:tc>
          <w:tcPr>
            <w:tcW w:w="370" w:type="pct"/>
            <w:tcBorders>
              <w:tl2br w:val="nil"/>
              <w:tr2bl w:val="nil"/>
            </w:tcBorders>
            <w:vAlign w:val="center"/>
          </w:tcPr>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45</w:t>
            </w:r>
          </w:p>
          <w:p>
            <w:pPr>
              <w:widowControl/>
              <w:autoSpaceDN w:val="0"/>
              <w:spacing w:line="400" w:lineRule="exact"/>
              <w:jc w:val="center"/>
              <w:rPr>
                <w:rFonts w:ascii="Times New Roman" w:hAnsi="Times New Roman" w:eastAsia="仿宋_GB2312" w:cs="宋体"/>
                <w:color w:val="000000" w:themeColor="text1"/>
                <w:kern w:val="0"/>
                <w:szCs w:val="21"/>
              </w:rPr>
            </w:pPr>
            <w:r>
              <w:rPr>
                <w:rFonts w:hint="eastAsia" w:ascii="Times New Roman" w:hAnsi="Times New Roman" w:eastAsia="仿宋_GB2312" w:cs="宋体"/>
                <w:color w:val="000000" w:themeColor="text1"/>
                <w:kern w:val="0"/>
                <w:szCs w:val="21"/>
              </w:rPr>
              <w:t>46</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47</w:t>
            </w:r>
          </w:p>
          <w:p>
            <w:pPr>
              <w:widowControl/>
              <w:autoSpaceDN w:val="0"/>
              <w:spacing w:line="400" w:lineRule="exact"/>
              <w:jc w:val="center"/>
              <w:rPr>
                <w:rFonts w:ascii="Times New Roman" w:hAnsi="Times New Roman" w:eastAsia="仿宋_GB2312" w:cs="宋体"/>
                <w:color w:val="000000" w:themeColor="text1"/>
                <w:kern w:val="0"/>
                <w:szCs w:val="21"/>
              </w:rPr>
            </w:pPr>
            <w:r>
              <w:rPr>
                <w:rFonts w:hint="eastAsia" w:ascii="Times New Roman" w:hAnsi="Times New Roman" w:eastAsia="仿宋_GB2312" w:cs="宋体"/>
                <w:color w:val="000000" w:themeColor="text1"/>
                <w:kern w:val="0"/>
                <w:szCs w:val="21"/>
              </w:rPr>
              <w:t>48</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49</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50</w:t>
            </w:r>
          </w:p>
          <w:p>
            <w:pPr>
              <w:widowControl/>
              <w:autoSpaceDN w:val="0"/>
              <w:spacing w:line="400" w:lineRule="exact"/>
              <w:jc w:val="center"/>
              <w:rPr>
                <w:rFonts w:ascii="Times New Roman" w:hAnsi="Times New Roman" w:eastAsia="方正黑体_GBK" w:cs="Times New Roman"/>
                <w:color w:val="000000" w:themeColor="text1"/>
                <w:kern w:val="0"/>
                <w:szCs w:val="21"/>
              </w:rPr>
            </w:pPr>
            <w:r>
              <w:rPr>
                <w:rFonts w:hint="eastAsia" w:ascii="Times New Roman" w:hAnsi="Times New Roman" w:eastAsia="方正黑体_GBK" w:cs="Times New Roman"/>
                <w:color w:val="000000" w:themeColor="text1"/>
                <w:kern w:val="0"/>
                <w:szCs w:val="21"/>
              </w:rPr>
              <w:t>51</w:t>
            </w:r>
          </w:p>
        </w:tc>
        <w:tc>
          <w:tcPr>
            <w:tcW w:w="2761" w:type="pct"/>
            <w:tcBorders>
              <w:tl2br w:val="nil"/>
              <w:tr2bl w:val="nil"/>
            </w:tcBorders>
            <w:vAlign w:val="center"/>
          </w:tcPr>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城镇新增就业人数</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城乡居民收入</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劳动年龄人口平均受教育年限</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城乡义务教育专任教师本科以上学历比例</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普通高中资源供给比例</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平均预期寿命</w:t>
            </w:r>
          </w:p>
          <w:p>
            <w:pPr>
              <w:widowControl/>
              <w:autoSpaceDN w:val="0"/>
              <w:spacing w:line="400" w:lineRule="exact"/>
              <w:ind w:firstLine="210" w:firstLineChars="100"/>
              <w:rPr>
                <w:rFonts w:ascii="Times New Roman" w:hAnsi="Times New Roman" w:eastAsia="方正黑体_GBK" w:cs="Times New Roman"/>
                <w:color w:val="000000" w:themeColor="text1"/>
                <w:kern w:val="0"/>
                <w:szCs w:val="21"/>
              </w:rPr>
            </w:pPr>
            <w:r>
              <w:rPr>
                <w:rFonts w:hint="eastAsia" w:ascii="仿宋_GB2312" w:hAnsi="宋体" w:eastAsia="仿宋_GB2312" w:cs="宋体"/>
                <w:color w:val="000000" w:themeColor="text1"/>
                <w:kern w:val="0"/>
                <w:szCs w:val="21"/>
              </w:rPr>
              <w:t>基本医疗保险参保率</w:t>
            </w:r>
          </w:p>
        </w:tc>
        <w:tc>
          <w:tcPr>
            <w:tcW w:w="1163" w:type="pct"/>
            <w:tcBorders>
              <w:tl2br w:val="nil"/>
              <w:tr2bl w:val="nil"/>
            </w:tcBorders>
            <w:vAlign w:val="center"/>
          </w:tcPr>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8</w:t>
            </w:r>
            <w:r>
              <w:rPr>
                <w:rFonts w:hint="eastAsia" w:ascii="仿宋_GB2312" w:hAnsi="宋体" w:eastAsia="仿宋_GB2312" w:cs="宋体"/>
                <w:color w:val="000000" w:themeColor="text1"/>
                <w:kern w:val="0"/>
                <w:szCs w:val="21"/>
              </w:rPr>
              <w:t>万人以上</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稳步增长</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11</w:t>
            </w:r>
            <w:r>
              <w:rPr>
                <w:rFonts w:hint="eastAsia" w:ascii="仿宋_GB2312" w:hAnsi="宋体" w:eastAsia="仿宋_GB2312" w:cs="宋体"/>
                <w:color w:val="000000" w:themeColor="text1"/>
                <w:kern w:val="0"/>
                <w:szCs w:val="21"/>
              </w:rPr>
              <w:t>.</w:t>
            </w:r>
            <w:r>
              <w:rPr>
                <w:rFonts w:hint="eastAsia" w:ascii="Times New Roman" w:hAnsi="Times New Roman" w:eastAsia="仿宋_GB2312" w:cs="宋体"/>
                <w:color w:val="000000" w:themeColor="text1"/>
                <w:kern w:val="0"/>
                <w:szCs w:val="21"/>
              </w:rPr>
              <w:t>3</w:t>
            </w:r>
            <w:r>
              <w:rPr>
                <w:rFonts w:hint="eastAsia" w:ascii="仿宋_GB2312" w:hAnsi="宋体" w:eastAsia="仿宋_GB2312" w:cs="宋体"/>
                <w:color w:val="000000" w:themeColor="text1"/>
                <w:kern w:val="0"/>
                <w:szCs w:val="21"/>
              </w:rPr>
              <w:t>年</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w:t>
            </w:r>
            <w:r>
              <w:rPr>
                <w:rFonts w:hint="eastAsia" w:ascii="仿宋_GB2312" w:hAnsi="宋体" w:eastAsia="仿宋_GB2312" w:cs="宋体"/>
                <w:color w:val="000000" w:themeColor="text1"/>
                <w:kern w:val="0"/>
                <w:szCs w:val="21"/>
              </w:rPr>
              <w:t>：</w:t>
            </w:r>
            <w:r>
              <w:rPr>
                <w:rFonts w:hint="eastAsia" w:ascii="Times New Roman" w:hAnsi="Times New Roman" w:eastAsia="仿宋_GB2312" w:cs="宋体"/>
                <w:color w:val="000000" w:themeColor="text1"/>
                <w:kern w:val="0"/>
                <w:szCs w:val="21"/>
              </w:rPr>
              <w:t>1</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95%</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78</w:t>
            </w:r>
            <w:r>
              <w:rPr>
                <w:rFonts w:hint="eastAsia" w:ascii="仿宋_GB2312" w:hAnsi="宋体" w:eastAsia="仿宋_GB2312" w:cs="宋体"/>
                <w:color w:val="000000" w:themeColor="text1"/>
                <w:kern w:val="0"/>
                <w:szCs w:val="21"/>
              </w:rPr>
              <w:t>岁左右</w:t>
            </w:r>
          </w:p>
          <w:p>
            <w:pPr>
              <w:widowControl/>
              <w:autoSpaceDN w:val="0"/>
              <w:spacing w:line="400" w:lineRule="exact"/>
              <w:jc w:val="center"/>
              <w:rPr>
                <w:rFonts w:ascii="宋体" w:hAnsi="宋体" w:eastAsia="宋体" w:cs="宋体"/>
                <w:color w:val="000000" w:themeColor="text1"/>
                <w:kern w:val="0"/>
                <w:szCs w:val="21"/>
              </w:rPr>
            </w:pPr>
            <w:r>
              <w:rPr>
                <w:rFonts w:hint="eastAsia" w:ascii="Times New Roman" w:hAnsi="Times New Roman" w:eastAsia="仿宋_GB2312" w:cs="宋体"/>
                <w:color w:val="000000" w:themeColor="text1"/>
                <w:kern w:val="0"/>
                <w:szCs w:val="21"/>
              </w:rPr>
              <w:t>98%</w:t>
            </w:r>
            <w:r>
              <w:rPr>
                <w:rFonts w:hint="eastAsia" w:ascii="仿宋_GB2312" w:hAnsi="宋体" w:eastAsia="仿宋_GB2312" w:cs="宋体"/>
                <w:color w:val="000000" w:themeColor="text1"/>
                <w:kern w:val="0"/>
                <w:szCs w:val="21"/>
              </w:rPr>
              <w:t>以上</w:t>
            </w:r>
          </w:p>
        </w:tc>
        <w:tc>
          <w:tcPr>
            <w:tcW w:w="706" w:type="pct"/>
            <w:tcBorders>
              <w:tl2br w:val="nil"/>
              <w:tr2bl w:val="nil"/>
            </w:tcBorders>
            <w:vAlign w:val="center"/>
          </w:tcPr>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约束性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宋体" w:hAnsi="宋体" w:eastAsia="宋体" w:cs="宋体"/>
                <w:color w:val="000000" w:themeColor="text1"/>
                <w:kern w:val="0"/>
                <w:szCs w:val="21"/>
              </w:rPr>
            </w:pPr>
            <w:r>
              <w:rPr>
                <w:rFonts w:hint="eastAsia" w:ascii="仿宋_GB2312" w:hAnsi="宋体" w:eastAsia="仿宋_GB2312" w:cs="宋体"/>
                <w:color w:val="000000" w:themeColor="text1"/>
                <w:kern w:val="0"/>
                <w:szCs w:val="21"/>
              </w:rPr>
              <w:t>预期性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5" w:hRule="exact"/>
          <w:jc w:val="center"/>
        </w:trPr>
        <w:tc>
          <w:tcPr>
            <w:tcW w:w="370" w:type="pct"/>
            <w:tcBorders>
              <w:tl2br w:val="nil"/>
              <w:tr2bl w:val="nil"/>
            </w:tcBorders>
          </w:tcPr>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52</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53</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54</w:t>
            </w:r>
          </w:p>
          <w:p>
            <w:pPr>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55</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56</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57</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58</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59</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60</w:t>
            </w:r>
          </w:p>
        </w:tc>
        <w:tc>
          <w:tcPr>
            <w:tcW w:w="2761" w:type="pct"/>
            <w:tcBorders>
              <w:tl2br w:val="nil"/>
              <w:tr2bl w:val="nil"/>
            </w:tcBorders>
          </w:tcPr>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每万常住人口疾控人员数</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城乡居民基本养老保险参保人数比例</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接受居家养老上门服务老人数占比</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食品安全评价性抽检合格率</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生产安全事故起数</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生产安全事故死亡人数</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住房达标率</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人均公共服务支出</w:t>
            </w:r>
          </w:p>
          <w:p>
            <w:pPr>
              <w:widowControl/>
              <w:autoSpaceDN w:val="0"/>
              <w:spacing w:line="4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个人卫生支出占卫生总费用比重</w:t>
            </w:r>
          </w:p>
        </w:tc>
        <w:tc>
          <w:tcPr>
            <w:tcW w:w="1163" w:type="pct"/>
            <w:tcBorders>
              <w:tl2br w:val="nil"/>
              <w:tr2bl w:val="nil"/>
            </w:tcBorders>
          </w:tcPr>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0</w:t>
            </w:r>
            <w:r>
              <w:rPr>
                <w:rFonts w:hint="eastAsia" w:ascii="仿宋_GB2312" w:hAnsi="宋体" w:eastAsia="仿宋_GB2312" w:cs="宋体"/>
                <w:color w:val="000000" w:themeColor="text1"/>
                <w:kern w:val="0"/>
                <w:szCs w:val="21"/>
              </w:rPr>
              <w:t>.</w:t>
            </w:r>
            <w:r>
              <w:rPr>
                <w:rFonts w:hint="eastAsia" w:ascii="Times New Roman" w:hAnsi="Times New Roman" w:eastAsia="仿宋_GB2312" w:cs="宋体"/>
                <w:color w:val="000000" w:themeColor="text1"/>
                <w:kern w:val="0"/>
                <w:szCs w:val="21"/>
              </w:rPr>
              <w:t>35</w:t>
            </w:r>
            <w:r>
              <w:rPr>
                <w:rFonts w:hint="eastAsia" w:ascii="仿宋_GB2312" w:hAnsi="宋体" w:eastAsia="仿宋_GB2312" w:cs="宋体"/>
                <w:color w:val="000000" w:themeColor="text1"/>
                <w:kern w:val="0"/>
                <w:szCs w:val="21"/>
              </w:rPr>
              <w:t>人</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98%</w:t>
            </w:r>
            <w:r>
              <w:rPr>
                <w:rFonts w:hint="eastAsia" w:ascii="仿宋_GB2312" w:hAnsi="宋体" w:eastAsia="仿宋_GB2312" w:cs="宋体"/>
                <w:color w:val="000000" w:themeColor="text1"/>
                <w:kern w:val="0"/>
                <w:szCs w:val="21"/>
              </w:rPr>
              <w:t>以上</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12%</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98%</w:t>
            </w:r>
            <w:r>
              <w:rPr>
                <w:rFonts w:hint="eastAsia" w:ascii="仿宋_GB2312" w:hAnsi="宋体" w:eastAsia="仿宋_GB2312" w:cs="宋体"/>
                <w:color w:val="000000" w:themeColor="text1"/>
                <w:kern w:val="0"/>
                <w:szCs w:val="21"/>
              </w:rPr>
              <w:t>以上</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持续下降</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持续下降</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80%</w:t>
            </w:r>
            <w:r>
              <w:rPr>
                <w:rFonts w:hint="eastAsia" w:ascii="仿宋_GB2312" w:hAnsi="宋体" w:eastAsia="仿宋_GB2312" w:cs="宋体"/>
                <w:color w:val="000000" w:themeColor="text1"/>
                <w:kern w:val="0"/>
                <w:szCs w:val="21"/>
              </w:rPr>
              <w:t>左右</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9000</w:t>
            </w:r>
            <w:r>
              <w:rPr>
                <w:rFonts w:hint="eastAsia" w:ascii="仿宋_GB2312" w:hAnsi="宋体" w:eastAsia="仿宋_GB2312" w:cs="宋体"/>
                <w:color w:val="000000" w:themeColor="text1"/>
                <w:kern w:val="0"/>
                <w:szCs w:val="21"/>
              </w:rPr>
              <w:t>元</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21%</w:t>
            </w:r>
            <w:r>
              <w:rPr>
                <w:rFonts w:hint="eastAsia" w:ascii="仿宋_GB2312" w:hAnsi="宋体" w:eastAsia="仿宋_GB2312" w:cs="宋体"/>
                <w:color w:val="000000" w:themeColor="text1"/>
                <w:kern w:val="0"/>
                <w:szCs w:val="21"/>
              </w:rPr>
              <w:t>左右</w:t>
            </w:r>
          </w:p>
        </w:tc>
        <w:tc>
          <w:tcPr>
            <w:tcW w:w="706" w:type="pct"/>
            <w:tcBorders>
              <w:tl2br w:val="nil"/>
              <w:tr2bl w:val="nil"/>
            </w:tcBorders>
          </w:tcPr>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约束性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约束性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4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tc>
      </w:tr>
    </w:tbl>
    <w:p>
      <w:pPr>
        <w:overflowPunct w:val="0"/>
        <w:spacing w:line="550" w:lineRule="exact"/>
        <w:ind w:firstLine="640" w:firstLineChars="200"/>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三、</w:t>
      </w:r>
      <w:r>
        <w:rPr>
          <w:rFonts w:hint="eastAsia" w:ascii="Times New Roman" w:hAnsi="Times New Roman" w:eastAsia="方正黑体_GBK" w:cs="方正黑体_GBK"/>
          <w:color w:val="000000" w:themeColor="text1"/>
          <w:sz w:val="32"/>
          <w:szCs w:val="32"/>
        </w:rPr>
        <w:t>2021</w:t>
      </w:r>
      <w:r>
        <w:rPr>
          <w:rFonts w:hint="eastAsia" w:ascii="方正黑体_GBK" w:hAnsi="方正黑体_GBK" w:eastAsia="方正黑体_GBK" w:cs="方正黑体_GBK"/>
          <w:color w:val="000000" w:themeColor="text1"/>
          <w:sz w:val="32"/>
          <w:szCs w:val="32"/>
        </w:rPr>
        <w:t>年国民经济和社会发展的主要任务</w:t>
      </w:r>
    </w:p>
    <w:p>
      <w:pPr>
        <w:overflowPunct w:val="0"/>
        <w:spacing w:line="550" w:lineRule="exact"/>
        <w:ind w:firstLine="640" w:firstLineChars="200"/>
        <w:rPr>
          <w:rFonts w:ascii="仿宋_GB2312"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2021</w:t>
      </w:r>
      <w:r>
        <w:rPr>
          <w:rFonts w:hint="eastAsia" w:ascii="仿宋_GB2312" w:hAnsi="Times New Roman" w:eastAsia="仿宋_GB2312" w:cs="Times New Roman"/>
          <w:color w:val="000000" w:themeColor="text1"/>
          <w:sz w:val="32"/>
          <w:szCs w:val="32"/>
        </w:rPr>
        <w:t>年，要按照市委、市政府决策部署，统筹推进疫情防控和经济社会发展，突出做好六方面工作:</w:t>
      </w:r>
    </w:p>
    <w:p>
      <w:pPr>
        <w:overflowPunct w:val="0"/>
        <w:spacing w:line="550" w:lineRule="exact"/>
        <w:ind w:firstLine="640" w:firstLineChars="200"/>
        <w:rPr>
          <w:rFonts w:ascii="仿宋_GB2312" w:hAnsi="方正仿宋_GBK" w:eastAsia="仿宋_GB2312" w:cs="方正仿宋_GBK"/>
          <w:color w:val="000000" w:themeColor="text1"/>
          <w:sz w:val="32"/>
          <w:szCs w:val="32"/>
        </w:rPr>
      </w:pPr>
      <w:r>
        <w:rPr>
          <w:rFonts w:hint="eastAsia" w:ascii="Times New Roman" w:hAnsi="Times New Roman" w:eastAsia="楷体_GB2312" w:cs="方正楷体_GBK"/>
          <w:color w:val="000000" w:themeColor="text1"/>
          <w:sz w:val="32"/>
          <w:szCs w:val="32"/>
        </w:rPr>
        <w:t>1</w:t>
      </w:r>
      <w:r>
        <w:rPr>
          <w:rFonts w:hint="eastAsia" w:ascii="楷体_GB2312" w:hAnsi="方正楷体_GBK" w:eastAsia="楷体_GB2312" w:cs="方正楷体_GBK"/>
          <w:color w:val="000000" w:themeColor="text1"/>
          <w:sz w:val="32"/>
          <w:szCs w:val="32"/>
        </w:rPr>
        <w:t>．认真做好“六稳”“六保”工作，巩固经济向好态势。</w:t>
      </w:r>
      <w:r>
        <w:rPr>
          <w:rFonts w:hint="eastAsia" w:ascii="仿宋_GB2312" w:hAnsi="方正黑体_GBK" w:eastAsia="仿宋_GB2312" w:cs="方正黑体_GBK"/>
          <w:b/>
          <w:color w:val="000000" w:themeColor="text1"/>
          <w:sz w:val="32"/>
          <w:szCs w:val="32"/>
        </w:rPr>
        <w:t>一是</w:t>
      </w:r>
      <w:r>
        <w:rPr>
          <w:rFonts w:hint="eastAsia" w:ascii="仿宋_GB2312" w:hAnsi="Times New Roman" w:eastAsia="仿宋_GB2312" w:cs="Times New Roman"/>
          <w:color w:val="000000" w:themeColor="text1"/>
          <w:sz w:val="32"/>
          <w:szCs w:val="32"/>
        </w:rPr>
        <w:t>强化常态化疫情防控。坚持“大数据+网格化+铁脚板”经验做法，突出重要时段、重点场所和重点人群，按照“外防输入、内防反弹”的要求，加强进口冷链食品集中监管，实现“人”“物”同防，筑牢联防联控坚固防线，确保预防在先、发现在早、处置在快。</w:t>
      </w:r>
      <w:r>
        <w:rPr>
          <w:rFonts w:hint="eastAsia" w:ascii="仿宋_GB2312" w:hAnsi="Times New Roman" w:eastAsia="仿宋_GB2312" w:cs="Times New Roman"/>
          <w:b/>
          <w:bCs/>
          <w:color w:val="000000" w:themeColor="text1"/>
          <w:sz w:val="32"/>
          <w:szCs w:val="32"/>
        </w:rPr>
        <w:t>二是</w:t>
      </w:r>
      <w:r>
        <w:rPr>
          <w:rFonts w:hint="eastAsia" w:ascii="仿宋_GB2312" w:hAnsi="Times New Roman" w:eastAsia="仿宋_GB2312" w:cs="Times New Roman"/>
          <w:color w:val="000000" w:themeColor="text1"/>
          <w:sz w:val="32"/>
          <w:szCs w:val="32"/>
        </w:rPr>
        <w:t>强化稳企惠企政策落实。积极引导市场预期，发挥企业家座谈会、早茶峰会等政企沟通平台作用，健全完善企业家参与涉企政策制定等工作机制，提振企业家发展信心。全面落实“六稳”“六保”各项政策，打通政策落实的“最后一公里”，增加市场主体特别是中小微企业和个体工商户发展活力，全年减少企业负担</w:t>
      </w:r>
      <w:r>
        <w:rPr>
          <w:rFonts w:hint="eastAsia" w:ascii="Times New Roman" w:hAnsi="Times New Roman" w:eastAsia="仿宋_GB2312" w:cs="Times New Roman"/>
          <w:color w:val="000000" w:themeColor="text1"/>
          <w:sz w:val="32"/>
          <w:szCs w:val="32"/>
        </w:rPr>
        <w:t>100</w:t>
      </w:r>
      <w:r>
        <w:rPr>
          <w:rFonts w:hint="eastAsia" w:ascii="仿宋_GB2312" w:hAnsi="Times New Roman" w:eastAsia="仿宋_GB2312" w:cs="Times New Roman"/>
          <w:color w:val="000000" w:themeColor="text1"/>
          <w:sz w:val="32"/>
          <w:szCs w:val="32"/>
        </w:rPr>
        <w:t>亿元以上。</w:t>
      </w:r>
      <w:r>
        <w:rPr>
          <w:rFonts w:hint="eastAsia" w:ascii="仿宋_GB2312" w:hAnsi="方正黑体_GBK" w:eastAsia="仿宋_GB2312" w:cs="方正黑体_GBK"/>
          <w:b/>
          <w:color w:val="000000" w:themeColor="text1"/>
          <w:sz w:val="32"/>
          <w:szCs w:val="32"/>
        </w:rPr>
        <w:t>三是</w:t>
      </w:r>
      <w:r>
        <w:rPr>
          <w:rFonts w:hint="eastAsia" w:ascii="仿宋_GB2312" w:hAnsi="Times New Roman" w:eastAsia="仿宋_GB2312" w:cs="Times New Roman"/>
          <w:color w:val="000000" w:themeColor="text1"/>
          <w:sz w:val="32"/>
          <w:szCs w:val="32"/>
        </w:rPr>
        <w:t>强化经济运行分析调度。重点对照“十四五”规划指标体系、高质量发展考核指标体系和市人代会通过的目标任务，建立健全定期研判形势、调度指标、会商协调的工作机制，促进经济运行保持在合理区间，夺取高质量发展主动权。</w:t>
      </w:r>
      <w:r>
        <w:rPr>
          <w:rFonts w:hint="eastAsia" w:ascii="仿宋_GB2312" w:hAnsi="方正黑体_GBK" w:eastAsia="仿宋_GB2312" w:cs="方正黑体_GBK"/>
          <w:b/>
          <w:color w:val="000000" w:themeColor="text1"/>
          <w:sz w:val="32"/>
          <w:szCs w:val="32"/>
        </w:rPr>
        <w:t>四是</w:t>
      </w:r>
      <w:r>
        <w:rPr>
          <w:rFonts w:hint="eastAsia" w:ascii="仿宋_GB2312" w:hAnsi="Times New Roman" w:eastAsia="仿宋_GB2312" w:cs="Times New Roman"/>
          <w:color w:val="000000" w:themeColor="text1"/>
          <w:sz w:val="32"/>
          <w:szCs w:val="32"/>
        </w:rPr>
        <w:t>强化消费促进工作。推动高品质步行街建设和传统商圈提档升级，打造城市高端商业“硬核”和区域消费中心，大力发展“首店经济”，吸引市外消费回流。促进新型零售业态发展，全年网络零售额增长</w:t>
      </w:r>
      <w:r>
        <w:rPr>
          <w:rFonts w:hint="eastAsia" w:ascii="Times New Roman" w:hAnsi="Times New Roman" w:eastAsia="仿宋_GB2312" w:cs="Times New Roman"/>
          <w:color w:val="000000" w:themeColor="text1"/>
          <w:sz w:val="32"/>
          <w:szCs w:val="32"/>
        </w:rPr>
        <w:t>10%</w:t>
      </w:r>
      <w:r>
        <w:rPr>
          <w:rFonts w:hint="eastAsia" w:ascii="仿宋_GB2312" w:hAnsi="Times New Roman" w:eastAsia="仿宋_GB2312" w:cs="Times New Roman"/>
          <w:color w:val="000000" w:themeColor="text1"/>
          <w:sz w:val="32"/>
          <w:szCs w:val="32"/>
        </w:rPr>
        <w:t>以上。</w:t>
      </w:r>
    </w:p>
    <w:p>
      <w:pPr>
        <w:overflowPunct w:val="0"/>
        <w:spacing w:line="550" w:lineRule="exact"/>
        <w:ind w:firstLine="640" w:firstLineChars="200"/>
        <w:rPr>
          <w:rFonts w:ascii="仿宋_GB2312" w:hAnsi="Times New Roman" w:eastAsia="仿宋_GB2312" w:cs="Times New Roman"/>
          <w:color w:val="000000" w:themeColor="text1"/>
          <w:sz w:val="32"/>
          <w:szCs w:val="32"/>
        </w:rPr>
      </w:pPr>
      <w:r>
        <w:rPr>
          <w:rFonts w:hint="eastAsia" w:ascii="Times New Roman" w:hAnsi="Times New Roman" w:eastAsia="楷体_GB2312" w:cs="方正楷体_GBK"/>
          <w:color w:val="000000" w:themeColor="text1"/>
          <w:sz w:val="32"/>
          <w:szCs w:val="32"/>
        </w:rPr>
        <w:t>2</w:t>
      </w:r>
      <w:r>
        <w:rPr>
          <w:rFonts w:hint="eastAsia" w:ascii="楷体_GB2312" w:hAnsi="方正楷体_GBK" w:eastAsia="楷体_GB2312" w:cs="方正楷体_GBK"/>
          <w:color w:val="000000" w:themeColor="text1"/>
          <w:sz w:val="32"/>
          <w:szCs w:val="32"/>
        </w:rPr>
        <w:t>．加快融入新发展格局，提升产业核心竞争力。</w:t>
      </w:r>
      <w:r>
        <w:rPr>
          <w:rFonts w:hint="eastAsia" w:ascii="仿宋_GB2312" w:hAnsi="方正黑体_GBK" w:eastAsia="仿宋_GB2312" w:cs="方正黑体_GBK"/>
          <w:b/>
          <w:color w:val="000000" w:themeColor="text1"/>
          <w:sz w:val="32"/>
          <w:szCs w:val="32"/>
        </w:rPr>
        <w:t>一是</w:t>
      </w:r>
      <w:r>
        <w:rPr>
          <w:rFonts w:hint="eastAsia" w:ascii="仿宋_GB2312" w:hAnsi="Times New Roman" w:eastAsia="仿宋_GB2312" w:cs="Times New Roman"/>
          <w:color w:val="000000" w:themeColor="text1"/>
          <w:sz w:val="32"/>
          <w:szCs w:val="32"/>
        </w:rPr>
        <w:t>举全市之力建设中国医药城。坚持“中国医药城就是泰州、泰州就是中国医药城”理念，集中资源、集中力量发展医药产业，形成以医药高新区为龙头、各市区各有侧重、全市域竞相发展的医药产业格局，全年医药产业产值增速高于规上工业总产值</w:t>
      </w:r>
      <w:r>
        <w:rPr>
          <w:rFonts w:hint="eastAsia" w:ascii="Times New Roman" w:hAnsi="Times New Roman" w:eastAsia="仿宋_GB2312" w:cs="Times New Roman"/>
          <w:color w:val="000000" w:themeColor="text1"/>
          <w:sz w:val="32"/>
          <w:szCs w:val="32"/>
        </w:rPr>
        <w:t>3</w:t>
      </w:r>
      <w:r>
        <w:rPr>
          <w:rFonts w:hint="eastAsia" w:ascii="仿宋_GB2312" w:hAnsi="Times New Roman" w:eastAsia="仿宋_GB2312" w:cs="Times New Roman"/>
          <w:color w:val="000000" w:themeColor="text1"/>
          <w:sz w:val="32"/>
          <w:szCs w:val="32"/>
        </w:rPr>
        <w:t>个百分点。放大世卫组织健康城市联盟效应，持续推动健康名城建设“八大行动”，加快构建健康产业、健康环境、健康服务、健康生活、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spacing w:beforeLines="20" w:afterLines="20" w:line="440" w:lineRule="exact"/>
              <w:jc w:val="center"/>
              <w:rPr>
                <w:rFonts w:ascii="黑体" w:hAnsi="黑体" w:eastAsia="黑体" w:cs="方正黑体_GBK"/>
                <w:color w:val="000000" w:themeColor="text1"/>
                <w:sz w:val="24"/>
                <w:szCs w:val="24"/>
              </w:rPr>
            </w:pPr>
            <w:r>
              <w:rPr>
                <w:rFonts w:hint="eastAsia" w:ascii="黑体" w:hAnsi="黑体" w:eastAsia="黑体" w:cs="方正黑体_GBK"/>
                <w:color w:val="000000" w:themeColor="text1"/>
                <w:sz w:val="24"/>
                <w:szCs w:val="24"/>
              </w:rPr>
              <w:t>专栏：健康名城建设“八大行动”</w:t>
            </w:r>
          </w:p>
          <w:p>
            <w:pPr>
              <w:spacing w:afterLines="30" w:line="440" w:lineRule="exact"/>
              <w:ind w:firstLine="480" w:firstLineChars="200"/>
              <w:rPr>
                <w:rFonts w:ascii="仿宋_GB2312" w:hAnsi="Times New Roman" w:eastAsia="仿宋_GB2312" w:cs="Times New Roman"/>
                <w:color w:val="000000" w:themeColor="text1"/>
                <w:sz w:val="32"/>
                <w:szCs w:val="32"/>
              </w:rPr>
            </w:pPr>
            <w:r>
              <w:rPr>
                <w:rFonts w:hint="eastAsia" w:ascii="仿宋_GB2312" w:hAnsi="方正仿宋_GBK" w:eastAsia="仿宋_GB2312" w:cs="方正仿宋_GBK"/>
                <w:color w:val="000000" w:themeColor="text1"/>
                <w:sz w:val="24"/>
                <w:szCs w:val="24"/>
              </w:rPr>
              <w:t>医药高新区“二次创业行动”、健康环境优化提升行动、特色医疗发展行动、健康养老品质提升行动、食品产业绿色安全行动、全民健身行动、健康文化培植行动、健康人群培育行动。</w:t>
            </w:r>
          </w:p>
        </w:tc>
      </w:tr>
    </w:tbl>
    <w:p>
      <w:pPr>
        <w:overflowPunct w:val="0"/>
        <w:spacing w:line="550" w:lineRule="exact"/>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健康保障五大体系，争创健康城市最佳实践奖。</w:t>
      </w:r>
      <w:r>
        <w:rPr>
          <w:rFonts w:hint="eastAsia" w:ascii="仿宋_GB2312" w:hAnsi="方正黑体_GBK" w:eastAsia="仿宋_GB2312" w:cs="方正黑体_GBK"/>
          <w:b/>
          <w:color w:val="000000" w:themeColor="text1"/>
          <w:sz w:val="32"/>
          <w:szCs w:val="32"/>
        </w:rPr>
        <w:t>二是</w:t>
      </w:r>
      <w:r>
        <w:rPr>
          <w:rFonts w:hint="eastAsia" w:ascii="仿宋_GB2312" w:hAnsi="Times New Roman" w:eastAsia="仿宋_GB2312" w:cs="Times New Roman"/>
          <w:color w:val="000000" w:themeColor="text1"/>
          <w:sz w:val="32"/>
          <w:szCs w:val="32"/>
        </w:rPr>
        <w:t>推动产业链供应链优化升级。落实“产业强链”行动方案，重点打造医药、精细化工、高技术船舶、汽车及零部件、石油化工、新能源等六大优势产业链，针对产业链缺失环节开展供需对接，培育更多更强的“链主”企业。开展“上云用数赋智”行动，年内创建省星级上云企业</w:t>
      </w:r>
      <w:r>
        <w:rPr>
          <w:rFonts w:hint="eastAsia" w:ascii="Times New Roman" w:hAnsi="Times New Roman" w:eastAsia="仿宋_GB2312" w:cs="Times New Roman"/>
          <w:color w:val="000000" w:themeColor="text1"/>
          <w:sz w:val="32"/>
          <w:szCs w:val="32"/>
        </w:rPr>
        <w:t>100</w:t>
      </w:r>
      <w:r>
        <w:rPr>
          <w:rFonts w:hint="eastAsia" w:ascii="仿宋_GB2312" w:hAnsi="Times New Roman" w:eastAsia="仿宋_GB2312" w:cs="Times New Roman"/>
          <w:color w:val="000000" w:themeColor="text1"/>
          <w:sz w:val="32"/>
          <w:szCs w:val="32"/>
        </w:rPr>
        <w:t>家、市级以上智能车间</w:t>
      </w:r>
      <w:r>
        <w:rPr>
          <w:rFonts w:hint="eastAsia" w:ascii="Times New Roman" w:hAnsi="Times New Roman" w:eastAsia="仿宋_GB2312" w:cs="Times New Roman"/>
          <w:color w:val="000000" w:themeColor="text1"/>
          <w:sz w:val="32"/>
          <w:szCs w:val="32"/>
        </w:rPr>
        <w:t>30</w:t>
      </w:r>
      <w:r>
        <w:rPr>
          <w:rFonts w:hint="eastAsia" w:ascii="仿宋_GB2312" w:hAnsi="Times New Roman" w:eastAsia="仿宋_GB2312" w:cs="Times New Roman"/>
          <w:color w:val="000000" w:themeColor="text1"/>
          <w:sz w:val="32"/>
          <w:szCs w:val="32"/>
        </w:rPr>
        <w:t>个、绿色工厂</w:t>
      </w:r>
      <w:r>
        <w:rPr>
          <w:rFonts w:hint="eastAsia" w:ascii="Times New Roman" w:hAnsi="Times New Roman" w:eastAsia="仿宋_GB2312" w:cs="Times New Roman"/>
          <w:color w:val="000000" w:themeColor="text1"/>
          <w:sz w:val="32"/>
          <w:szCs w:val="32"/>
        </w:rPr>
        <w:t>3个</w:t>
      </w:r>
      <w:r>
        <w:rPr>
          <w:rFonts w:hint="eastAsia" w:ascii="仿宋_GB2312" w:hAnsi="Times New Roman" w:eastAsia="仿宋_GB2312" w:cs="Times New Roman"/>
          <w:color w:val="000000" w:themeColor="text1"/>
          <w:sz w:val="32"/>
          <w:szCs w:val="32"/>
        </w:rPr>
        <w:t>。推动现代服务业与先进制造业深度融合，新增两业融合发展省级试点单位</w:t>
      </w:r>
      <w:r>
        <w:rPr>
          <w:rFonts w:hint="eastAsia" w:ascii="Times New Roman" w:hAnsi="Times New Roman" w:eastAsia="仿宋_GB2312" w:cs="Times New Roman"/>
          <w:color w:val="000000" w:themeColor="text1"/>
          <w:sz w:val="32"/>
          <w:szCs w:val="32"/>
        </w:rPr>
        <w:t>1</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rPr>
        <w:t>家。</w:t>
      </w:r>
      <w:r>
        <w:rPr>
          <w:rFonts w:hint="eastAsia" w:ascii="仿宋_GB2312" w:hAnsi="Times New Roman" w:eastAsia="仿宋_GB2312" w:cs="Times New Roman"/>
          <w:b/>
          <w:bCs/>
          <w:color w:val="000000" w:themeColor="text1"/>
          <w:sz w:val="32"/>
          <w:szCs w:val="32"/>
        </w:rPr>
        <w:t>三是</w:t>
      </w:r>
      <w:r>
        <w:rPr>
          <w:rFonts w:hint="eastAsia" w:ascii="仿宋_GB2312" w:hAnsi="Times New Roman" w:eastAsia="仿宋_GB2312" w:cs="Times New Roman"/>
          <w:color w:val="000000" w:themeColor="text1"/>
          <w:sz w:val="32"/>
          <w:szCs w:val="32"/>
        </w:rPr>
        <w:t>持续增强产业创新能力。放大企业科技创新积分管理优势，落实重点科技攻关任务“揭榜挂帅”制度，积极创建国家实验室、国家产业创新中心等重大科技基础设施，促进高新技术企业、科技上市企业、瞪羚企业和独角兽企业梯次成长、竞相发展，全年高新技术企业数量突破</w:t>
      </w:r>
      <w:r>
        <w:rPr>
          <w:rFonts w:hint="eastAsia" w:ascii="Times New Roman" w:hAnsi="Times New Roman" w:eastAsia="仿宋_GB2312" w:cs="Times New Roman"/>
          <w:color w:val="000000" w:themeColor="text1"/>
          <w:sz w:val="32"/>
          <w:szCs w:val="32"/>
        </w:rPr>
        <w:t>1300</w:t>
      </w:r>
      <w:r>
        <w:rPr>
          <w:rFonts w:hint="eastAsia" w:ascii="仿宋_GB2312" w:hAnsi="Times New Roman" w:eastAsia="仿宋_GB2312" w:cs="Times New Roman"/>
          <w:color w:val="000000" w:themeColor="text1"/>
          <w:sz w:val="32"/>
          <w:szCs w:val="32"/>
        </w:rPr>
        <w:t>家。</w:t>
      </w:r>
    </w:p>
    <w:p>
      <w:pPr>
        <w:overflowPunct w:val="0"/>
        <w:spacing w:afterLines="50" w:line="550" w:lineRule="exact"/>
        <w:ind w:firstLine="640" w:firstLineChars="200"/>
        <w:rPr>
          <w:rFonts w:ascii="仿宋_GB2312" w:hAnsi="Times New Roman" w:eastAsia="仿宋_GB2312" w:cs="Times New Roman"/>
          <w:color w:val="000000" w:themeColor="text1"/>
          <w:sz w:val="32"/>
          <w:szCs w:val="32"/>
        </w:rPr>
      </w:pPr>
      <w:r>
        <w:rPr>
          <w:rFonts w:hint="eastAsia" w:ascii="Times New Roman" w:hAnsi="Times New Roman" w:eastAsia="楷体_GB2312" w:cs="方正楷体_GBK"/>
          <w:color w:val="000000" w:themeColor="text1"/>
          <w:sz w:val="32"/>
          <w:szCs w:val="32"/>
        </w:rPr>
        <w:t>3</w:t>
      </w:r>
      <w:r>
        <w:rPr>
          <w:rFonts w:hint="eastAsia" w:ascii="楷体_GB2312" w:hAnsi="方正楷体_GBK" w:eastAsia="楷体_GB2312" w:cs="方正楷体_GBK"/>
          <w:color w:val="000000" w:themeColor="text1"/>
          <w:sz w:val="32"/>
          <w:szCs w:val="32"/>
        </w:rPr>
        <w:t>．扎实推进重大项目建设，增强城乡发展后劲。</w:t>
      </w:r>
      <w:r>
        <w:rPr>
          <w:rFonts w:hint="eastAsia" w:ascii="仿宋_GB2312" w:hAnsi="方正黑体_GBK" w:eastAsia="仿宋_GB2312" w:cs="方正黑体_GBK"/>
          <w:b/>
          <w:color w:val="000000" w:themeColor="text1"/>
          <w:sz w:val="32"/>
          <w:szCs w:val="32"/>
        </w:rPr>
        <w:t>一是</w:t>
      </w:r>
      <w:r>
        <w:rPr>
          <w:rFonts w:hint="eastAsia" w:ascii="仿宋_GB2312" w:hAnsi="Times New Roman" w:eastAsia="仿宋_GB2312" w:cs="Times New Roman"/>
          <w:color w:val="000000" w:themeColor="text1"/>
          <w:sz w:val="32"/>
          <w:szCs w:val="32"/>
        </w:rPr>
        <w:t>深入开展“三比一提升”。积极探索重大项目全生命周期服务机制，完善新落户</w:t>
      </w:r>
      <w:r>
        <w:rPr>
          <w:rFonts w:hint="eastAsia" w:ascii="Times New Roman" w:hAnsi="Times New Roman" w:eastAsia="仿宋_GB2312" w:cs="Times New Roman"/>
          <w:color w:val="000000" w:themeColor="text1"/>
          <w:sz w:val="32"/>
          <w:szCs w:val="32"/>
        </w:rPr>
        <w:t>5</w:t>
      </w:r>
      <w:r>
        <w:rPr>
          <w:rFonts w:hint="eastAsia" w:ascii="仿宋_GB2312" w:hAnsi="Times New Roman" w:eastAsia="仿宋_GB2312" w:cs="Times New Roman"/>
          <w:color w:val="000000" w:themeColor="text1"/>
          <w:sz w:val="32"/>
          <w:szCs w:val="32"/>
        </w:rPr>
        <w:t>亿元以上项目“店小二”跟进、管家式服务责任链条。持续深化园区改革，加快园区提档升级，重点推动泰兴经济开发区国际合作区建设，完善泰州综合保税区和靖江保税物流中心（</w:t>
      </w:r>
      <w:r>
        <w:rPr>
          <w:rFonts w:hint="eastAsia" w:ascii="Times New Roman" w:hAnsi="Times New Roman" w:eastAsia="仿宋_GB2312" w:cs="Times New Roman"/>
          <w:color w:val="000000" w:themeColor="text1"/>
          <w:sz w:val="32"/>
          <w:szCs w:val="32"/>
        </w:rPr>
        <w:t>B</w:t>
      </w:r>
      <w:r>
        <w:rPr>
          <w:rFonts w:hint="eastAsia" w:ascii="仿宋_GB2312" w:hAnsi="Times New Roman" w:eastAsia="仿宋_GB2312" w:cs="Times New Roman"/>
          <w:color w:val="000000" w:themeColor="text1"/>
          <w:sz w:val="32"/>
          <w:szCs w:val="32"/>
        </w:rPr>
        <w:t>型）平台功能。引导重点园区围绕产业链图谱、投资地图、招商地图“三张图”开展精准招商，全年新开工</w:t>
      </w:r>
      <w:r>
        <w:rPr>
          <w:rFonts w:hint="eastAsia" w:ascii="Times New Roman" w:hAnsi="Times New Roman" w:eastAsia="仿宋_GB2312" w:cs="Times New Roman"/>
          <w:color w:val="000000" w:themeColor="text1"/>
          <w:sz w:val="32"/>
          <w:szCs w:val="32"/>
        </w:rPr>
        <w:t>5</w:t>
      </w:r>
      <w:r>
        <w:rPr>
          <w:rFonts w:hint="eastAsia" w:ascii="仿宋_GB2312" w:hAnsi="Times New Roman" w:eastAsia="仿宋_GB2312" w:cs="Times New Roman"/>
          <w:color w:val="000000" w:themeColor="text1"/>
          <w:sz w:val="32"/>
          <w:szCs w:val="32"/>
        </w:rPr>
        <w:t>亿元（</w:t>
      </w:r>
      <w:r>
        <w:rPr>
          <w:rFonts w:hint="eastAsia" w:ascii="Times New Roman" w:hAnsi="Times New Roman" w:eastAsia="仿宋_GB2312" w:cs="Times New Roman"/>
          <w:color w:val="000000" w:themeColor="text1"/>
          <w:sz w:val="32"/>
          <w:szCs w:val="32"/>
        </w:rPr>
        <w:t>3000</w:t>
      </w:r>
      <w:r>
        <w:rPr>
          <w:rFonts w:hint="eastAsia" w:ascii="仿宋_GB2312" w:hAnsi="Times New Roman" w:eastAsia="仿宋_GB2312" w:cs="Times New Roman"/>
          <w:color w:val="000000" w:themeColor="text1"/>
          <w:sz w:val="32"/>
          <w:szCs w:val="32"/>
        </w:rPr>
        <w:t>万美元）以上项目</w:t>
      </w:r>
      <w:r>
        <w:rPr>
          <w:rFonts w:hint="eastAsia" w:ascii="Times New Roman" w:hAnsi="Times New Roman" w:eastAsia="仿宋_GB2312" w:cs="Times New Roman"/>
          <w:color w:val="000000" w:themeColor="text1"/>
          <w:sz w:val="32"/>
          <w:szCs w:val="32"/>
        </w:rPr>
        <w:t>150</w:t>
      </w:r>
      <w:r>
        <w:rPr>
          <w:rFonts w:hint="eastAsia" w:ascii="仿宋_GB2312" w:hAnsi="Times New Roman" w:eastAsia="仿宋_GB2312" w:cs="Times New Roman"/>
          <w:color w:val="000000" w:themeColor="text1"/>
          <w:sz w:val="32"/>
          <w:szCs w:val="32"/>
        </w:rPr>
        <w:t>个。</w:t>
      </w:r>
      <w:r>
        <w:rPr>
          <w:rFonts w:hint="eastAsia" w:ascii="仿宋_GB2312" w:hAnsi="方正黑体_GBK" w:eastAsia="仿宋_GB2312" w:cs="方正黑体_GBK"/>
          <w:b/>
          <w:color w:val="000000" w:themeColor="text1"/>
          <w:sz w:val="32"/>
          <w:szCs w:val="32"/>
        </w:rPr>
        <w:t>二是</w:t>
      </w:r>
      <w:r>
        <w:rPr>
          <w:rFonts w:hint="eastAsia" w:ascii="仿宋_GB2312" w:hAnsi="Times New Roman" w:eastAsia="仿宋_GB2312" w:cs="Times New Roman"/>
          <w:color w:val="000000" w:themeColor="text1"/>
          <w:sz w:val="32"/>
          <w:szCs w:val="32"/>
        </w:rPr>
        <w:t>加快推进城乡重点项目。突出“一</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beforeLines="20" w:afterLines="20" w:line="440" w:lineRule="exact"/>
              <w:jc w:val="center"/>
              <w:rPr>
                <w:rFonts w:ascii="黑体" w:hAnsi="黑体" w:eastAsia="黑体" w:cs="方正黑体_GBK"/>
                <w:color w:val="000000" w:themeColor="text1"/>
                <w:sz w:val="24"/>
                <w:szCs w:val="24"/>
              </w:rPr>
            </w:pPr>
            <w:r>
              <w:rPr>
                <w:rFonts w:hint="eastAsia" w:ascii="黑体" w:hAnsi="黑体" w:eastAsia="黑体" w:cs="方正黑体_GBK"/>
                <w:color w:val="000000" w:themeColor="text1"/>
                <w:sz w:val="24"/>
                <w:szCs w:val="24"/>
              </w:rPr>
              <w:t>专栏：全市列入省重大项目投资计划的产业项目名单</w:t>
            </w:r>
          </w:p>
          <w:p>
            <w:pPr>
              <w:overflowPunct w:val="0"/>
              <w:spacing w:line="440" w:lineRule="exact"/>
              <w:ind w:firstLine="480" w:firstLineChars="200"/>
              <w:rPr>
                <w:rFonts w:ascii="仿宋_GB2312" w:eastAsia="仿宋_GB2312"/>
                <w:color w:val="000000" w:themeColor="text1"/>
                <w:sz w:val="32"/>
                <w:szCs w:val="32"/>
              </w:rPr>
            </w:pPr>
            <w:r>
              <w:rPr>
                <w:rFonts w:hint="eastAsia" w:ascii="Times New Roman" w:hAnsi="Times New Roman" w:eastAsia="仿宋_GB2312" w:cs="方正仿宋_GBK"/>
                <w:color w:val="000000" w:themeColor="text1"/>
                <w:sz w:val="24"/>
                <w:szCs w:val="24"/>
              </w:rPr>
              <w:t>2021</w:t>
            </w:r>
            <w:r>
              <w:rPr>
                <w:rFonts w:hint="eastAsia" w:ascii="仿宋_GB2312" w:hAnsi="方正仿宋_GBK" w:eastAsia="仿宋_GB2312" w:cs="方正仿宋_GBK"/>
                <w:color w:val="000000" w:themeColor="text1"/>
                <w:sz w:val="24"/>
                <w:szCs w:val="24"/>
              </w:rPr>
              <w:t>年，全市共有</w:t>
            </w:r>
            <w:r>
              <w:rPr>
                <w:rFonts w:hint="eastAsia" w:ascii="Times New Roman" w:hAnsi="Times New Roman" w:eastAsia="仿宋_GB2312" w:cs="方正仿宋_GBK"/>
                <w:color w:val="000000" w:themeColor="text1"/>
                <w:sz w:val="24"/>
                <w:szCs w:val="24"/>
              </w:rPr>
              <w:t>12</w:t>
            </w:r>
            <w:r>
              <w:rPr>
                <w:rFonts w:hint="eastAsia" w:ascii="仿宋_GB2312" w:hAnsi="方正仿宋_GBK" w:eastAsia="仿宋_GB2312" w:cs="方正仿宋_GBK"/>
                <w:color w:val="000000" w:themeColor="text1"/>
                <w:sz w:val="24"/>
                <w:szCs w:val="24"/>
              </w:rPr>
              <w:t>个产业项目列入省重大项目投资计划（征求意见稿）：</w:t>
            </w:r>
            <w:r>
              <w:rPr>
                <w:rFonts w:hint="eastAsia" w:ascii="Times New Roman" w:hAnsi="Times New Roman" w:eastAsia="仿宋_GB2312" w:cs="方正仿宋_GBK"/>
                <w:color w:val="000000" w:themeColor="text1"/>
                <w:sz w:val="24"/>
                <w:szCs w:val="24"/>
              </w:rPr>
              <w:t>1</w:t>
            </w:r>
            <w:r>
              <w:rPr>
                <w:rFonts w:hint="eastAsia" w:ascii="仿宋_GB2312" w:hAnsi="方正仿宋_GBK" w:eastAsia="仿宋_GB2312" w:cs="方正仿宋_GBK"/>
                <w:color w:val="000000" w:themeColor="text1"/>
                <w:sz w:val="24"/>
                <w:szCs w:val="24"/>
              </w:rPr>
              <w:t>、中航</w:t>
            </w:r>
            <w:r>
              <w:rPr>
                <w:rFonts w:hint="eastAsia" w:ascii="Times New Roman" w:hAnsi="Times New Roman" w:eastAsia="仿宋_GB2312" w:cs="方正仿宋_GBK"/>
                <w:color w:val="000000" w:themeColor="text1"/>
                <w:sz w:val="24"/>
                <w:szCs w:val="24"/>
              </w:rPr>
              <w:t>704</w:t>
            </w:r>
            <w:r>
              <w:rPr>
                <w:rFonts w:hint="eastAsia" w:ascii="仿宋_GB2312" w:hAnsi="方正仿宋_GBK" w:eastAsia="仿宋_GB2312" w:cs="方正仿宋_GBK"/>
                <w:color w:val="000000" w:themeColor="text1"/>
                <w:sz w:val="24"/>
                <w:szCs w:val="24"/>
              </w:rPr>
              <w:t>所泰州遥感探测研发中心；</w:t>
            </w:r>
            <w:r>
              <w:rPr>
                <w:rFonts w:hint="eastAsia" w:ascii="Times New Roman" w:hAnsi="Times New Roman" w:eastAsia="仿宋_GB2312" w:cs="方正仿宋_GBK"/>
                <w:color w:val="000000" w:themeColor="text1"/>
                <w:sz w:val="24"/>
                <w:szCs w:val="24"/>
              </w:rPr>
              <w:t>2</w:t>
            </w:r>
            <w:r>
              <w:rPr>
                <w:rFonts w:hint="eastAsia" w:ascii="仿宋_GB2312" w:hAnsi="方正仿宋_GBK" w:eastAsia="仿宋_GB2312" w:cs="方正仿宋_GBK"/>
                <w:color w:val="000000" w:themeColor="text1"/>
                <w:sz w:val="24"/>
                <w:szCs w:val="24"/>
              </w:rPr>
              <w:t>、扬子江药业集团中西药研发生产基地；</w:t>
            </w:r>
            <w:r>
              <w:rPr>
                <w:rFonts w:hint="eastAsia" w:ascii="Times New Roman" w:hAnsi="Times New Roman" w:eastAsia="仿宋_GB2312" w:cs="方正仿宋_GBK"/>
                <w:color w:val="000000" w:themeColor="text1"/>
                <w:sz w:val="24"/>
                <w:szCs w:val="24"/>
              </w:rPr>
              <w:t>3</w:t>
            </w:r>
            <w:r>
              <w:rPr>
                <w:rFonts w:hint="eastAsia" w:ascii="仿宋_GB2312" w:hAnsi="方正仿宋_GBK" w:eastAsia="仿宋_GB2312" w:cs="方正仿宋_GBK"/>
                <w:color w:val="000000" w:themeColor="text1"/>
                <w:sz w:val="24"/>
                <w:szCs w:val="24"/>
              </w:rPr>
              <w:t>、泰州港核心港区港口能级提升工程；</w:t>
            </w:r>
            <w:r>
              <w:rPr>
                <w:rFonts w:hint="eastAsia" w:ascii="Times New Roman" w:hAnsi="Times New Roman" w:eastAsia="仿宋_GB2312" w:cs="方正仿宋_GBK"/>
                <w:color w:val="000000" w:themeColor="text1"/>
                <w:sz w:val="24"/>
                <w:szCs w:val="24"/>
              </w:rPr>
              <w:t>4</w:t>
            </w:r>
            <w:r>
              <w:rPr>
                <w:rFonts w:hint="eastAsia" w:ascii="仿宋_GB2312" w:hAnsi="方正仿宋_GBK" w:eastAsia="仿宋_GB2312" w:cs="方正仿宋_GBK"/>
                <w:color w:val="000000" w:themeColor="text1"/>
                <w:sz w:val="24"/>
                <w:szCs w:val="24"/>
              </w:rPr>
              <w:t>、泰州长城乘用车整车及关键部件；</w:t>
            </w:r>
            <w:r>
              <w:rPr>
                <w:rFonts w:hint="eastAsia" w:ascii="Times New Roman" w:hAnsi="Times New Roman" w:eastAsia="仿宋_GB2312" w:cs="方正仿宋_GBK"/>
                <w:color w:val="000000" w:themeColor="text1"/>
                <w:sz w:val="24"/>
                <w:szCs w:val="24"/>
              </w:rPr>
              <w:t>5</w:t>
            </w:r>
            <w:r>
              <w:rPr>
                <w:rFonts w:hint="eastAsia" w:ascii="仿宋_GB2312" w:hAnsi="方正仿宋_GBK" w:eastAsia="仿宋_GB2312" w:cs="方正仿宋_GBK"/>
                <w:color w:val="000000" w:themeColor="text1"/>
                <w:sz w:val="24"/>
                <w:szCs w:val="24"/>
              </w:rPr>
              <w:t>、泰州益海嘉里粮油深加工；</w:t>
            </w:r>
            <w:r>
              <w:rPr>
                <w:rFonts w:hint="eastAsia" w:ascii="Times New Roman" w:hAnsi="Times New Roman" w:eastAsia="仿宋_GB2312" w:cs="方正仿宋_GBK"/>
                <w:color w:val="000000" w:themeColor="text1"/>
                <w:sz w:val="24"/>
                <w:szCs w:val="24"/>
              </w:rPr>
              <w:t>6</w:t>
            </w:r>
            <w:r>
              <w:rPr>
                <w:rFonts w:hint="eastAsia" w:ascii="仿宋_GB2312" w:hAnsi="方正仿宋_GBK" w:eastAsia="仿宋_GB2312" w:cs="方正仿宋_GBK"/>
                <w:color w:val="000000" w:themeColor="text1"/>
                <w:sz w:val="24"/>
                <w:szCs w:val="24"/>
              </w:rPr>
              <w:t>、泰州泰康生物抗体药物；</w:t>
            </w:r>
            <w:r>
              <w:rPr>
                <w:rFonts w:hint="eastAsia" w:ascii="Times New Roman" w:hAnsi="Times New Roman" w:eastAsia="仿宋_GB2312" w:cs="方正仿宋_GBK"/>
                <w:color w:val="000000" w:themeColor="text1"/>
                <w:sz w:val="24"/>
                <w:szCs w:val="24"/>
              </w:rPr>
              <w:t>7</w:t>
            </w:r>
            <w:r>
              <w:rPr>
                <w:rFonts w:hint="eastAsia" w:ascii="仿宋_GB2312" w:hAnsi="方正仿宋_GBK" w:eastAsia="仿宋_GB2312" w:cs="方正仿宋_GBK"/>
                <w:color w:val="000000" w:themeColor="text1"/>
                <w:sz w:val="24"/>
                <w:szCs w:val="24"/>
              </w:rPr>
              <w:t>、泰州华康国际精准健康中心；</w:t>
            </w:r>
            <w:r>
              <w:rPr>
                <w:rFonts w:hint="eastAsia" w:ascii="Times New Roman" w:hAnsi="Times New Roman" w:eastAsia="仿宋_GB2312" w:cs="方正仿宋_GBK"/>
                <w:color w:val="000000" w:themeColor="text1"/>
                <w:sz w:val="24"/>
                <w:szCs w:val="24"/>
              </w:rPr>
              <w:t>8</w:t>
            </w:r>
            <w:r>
              <w:rPr>
                <w:rFonts w:hint="eastAsia" w:ascii="仿宋_GB2312" w:hAnsi="方正仿宋_GBK" w:eastAsia="仿宋_GB2312" w:cs="方正仿宋_GBK"/>
                <w:color w:val="000000" w:themeColor="text1"/>
                <w:sz w:val="24"/>
                <w:szCs w:val="24"/>
              </w:rPr>
              <w:t>、泰兴虹桥智慧物流园；</w:t>
            </w:r>
            <w:r>
              <w:rPr>
                <w:rFonts w:hint="eastAsia" w:ascii="Times New Roman" w:hAnsi="Times New Roman" w:eastAsia="仿宋_GB2312" w:cs="方正仿宋_GBK"/>
                <w:color w:val="000000" w:themeColor="text1"/>
                <w:sz w:val="24"/>
                <w:szCs w:val="24"/>
              </w:rPr>
              <w:t>9</w:t>
            </w:r>
            <w:r>
              <w:rPr>
                <w:rFonts w:hint="eastAsia" w:ascii="仿宋_GB2312" w:hAnsi="方正仿宋_GBK" w:eastAsia="仿宋_GB2312" w:cs="方正仿宋_GBK"/>
                <w:color w:val="000000" w:themeColor="text1"/>
                <w:sz w:val="24"/>
                <w:szCs w:val="24"/>
              </w:rPr>
              <w:t>、泰州惠生新材料；</w:t>
            </w:r>
            <w:r>
              <w:rPr>
                <w:rFonts w:hint="eastAsia" w:ascii="Times New Roman" w:hAnsi="Times New Roman" w:eastAsia="仿宋_GB2312" w:cs="方正仿宋_GBK"/>
                <w:color w:val="000000" w:themeColor="text1"/>
                <w:sz w:val="24"/>
                <w:szCs w:val="24"/>
              </w:rPr>
              <w:t>10</w:t>
            </w:r>
            <w:r>
              <w:rPr>
                <w:rFonts w:hint="eastAsia" w:ascii="仿宋_GB2312" w:hAnsi="方正仿宋_GBK" w:eastAsia="仿宋_GB2312" w:cs="方正仿宋_GBK"/>
                <w:color w:val="000000" w:themeColor="text1"/>
                <w:sz w:val="24"/>
                <w:szCs w:val="24"/>
              </w:rPr>
              <w:t>、泰兴惠尔信风电智能成套装备研发制造项目；</w:t>
            </w:r>
            <w:r>
              <w:rPr>
                <w:rFonts w:hint="eastAsia" w:ascii="Times New Roman" w:hAnsi="Times New Roman" w:eastAsia="仿宋_GB2312" w:cs="方正仿宋_GBK"/>
                <w:color w:val="000000" w:themeColor="text1"/>
                <w:sz w:val="24"/>
                <w:szCs w:val="24"/>
              </w:rPr>
              <w:t>11</w:t>
            </w:r>
            <w:r>
              <w:rPr>
                <w:rFonts w:hint="eastAsia" w:ascii="仿宋_GB2312" w:hAnsi="方正仿宋_GBK" w:eastAsia="仿宋_GB2312" w:cs="方正仿宋_GBK"/>
                <w:color w:val="000000" w:themeColor="text1"/>
                <w:sz w:val="24"/>
                <w:szCs w:val="24"/>
              </w:rPr>
              <w:t>、泰州兴达高性能子午线轮胎用钢帘线；</w:t>
            </w:r>
            <w:r>
              <w:rPr>
                <w:rFonts w:hint="eastAsia" w:ascii="Times New Roman" w:hAnsi="Times New Roman" w:eastAsia="仿宋_GB2312" w:cs="方正仿宋_GBK"/>
                <w:color w:val="000000" w:themeColor="text1"/>
                <w:sz w:val="24"/>
                <w:szCs w:val="24"/>
              </w:rPr>
              <w:t>12</w:t>
            </w:r>
            <w:r>
              <w:rPr>
                <w:rFonts w:hint="eastAsia" w:ascii="仿宋_GB2312" w:hAnsi="方正仿宋_GBK" w:eastAsia="仿宋_GB2312" w:cs="方正仿宋_GBK"/>
                <w:color w:val="000000" w:themeColor="text1"/>
                <w:sz w:val="24"/>
                <w:szCs w:val="24"/>
              </w:rPr>
              <w:t>、泰州中车智能升降系统与新能源游艇项目。</w:t>
            </w:r>
          </w:p>
        </w:tc>
      </w:tr>
    </w:tbl>
    <w:p>
      <w:pPr>
        <w:overflowPunct w:val="0"/>
        <w:spacing w:line="550" w:lineRule="exact"/>
        <w:rPr>
          <w:rFonts w:ascii="仿宋_GB2312" w:eastAsia="仿宋_GB2312"/>
          <w:color w:val="000000" w:themeColor="text1"/>
          <w:sz w:val="32"/>
          <w:szCs w:val="32"/>
        </w:rPr>
      </w:pPr>
      <w:r>
        <w:rPr>
          <w:rFonts w:hint="eastAsia" w:ascii="仿宋_GB2312" w:hAnsi="Times New Roman" w:eastAsia="仿宋_GB2312" w:cs="Times New Roman"/>
          <w:color w:val="000000" w:themeColor="text1"/>
          <w:sz w:val="32"/>
          <w:szCs w:val="32"/>
        </w:rPr>
        <w:t>核三极三城”，以高标准筹建省运会为契机，做好场馆建设、园林绿化、城市品质升级、城市管理水平提升等各项工作。加快乡村振兴重点项目建设，新增高标准农田</w:t>
      </w:r>
      <w:r>
        <w:rPr>
          <w:rFonts w:hint="eastAsia" w:ascii="Times New Roman" w:hAnsi="Times New Roman" w:eastAsia="仿宋_GB2312" w:cs="Times New Roman"/>
          <w:color w:val="000000" w:themeColor="text1"/>
          <w:sz w:val="32"/>
          <w:szCs w:val="32"/>
        </w:rPr>
        <w:t>20</w:t>
      </w:r>
      <w:r>
        <w:rPr>
          <w:rFonts w:hint="eastAsia" w:ascii="仿宋_GB2312" w:hAnsi="Times New Roman" w:eastAsia="仿宋_GB2312" w:cs="Times New Roman"/>
          <w:color w:val="000000" w:themeColor="text1"/>
          <w:sz w:val="32"/>
          <w:szCs w:val="32"/>
        </w:rPr>
        <w:t>万亩，实施农业农村重大项目</w:t>
      </w:r>
      <w:r>
        <w:rPr>
          <w:rFonts w:hint="eastAsia" w:ascii="Times New Roman" w:hAnsi="Times New Roman" w:eastAsia="仿宋_GB2312" w:cs="Times New Roman"/>
          <w:color w:val="000000" w:themeColor="text1"/>
          <w:sz w:val="32"/>
          <w:szCs w:val="32"/>
        </w:rPr>
        <w:t>100</w:t>
      </w:r>
      <w:r>
        <w:rPr>
          <w:rFonts w:hint="eastAsia" w:ascii="仿宋_GB2312" w:hAnsi="Times New Roman" w:eastAsia="仿宋_GB2312" w:cs="Times New Roman"/>
          <w:color w:val="000000" w:themeColor="text1"/>
          <w:sz w:val="32"/>
          <w:szCs w:val="32"/>
        </w:rPr>
        <w:t>个以上，改造农村道路</w:t>
      </w:r>
      <w:r>
        <w:rPr>
          <w:rFonts w:hint="eastAsia" w:ascii="Times New Roman" w:hAnsi="Times New Roman" w:eastAsia="仿宋_GB2312" w:cs="Times New Roman"/>
          <w:color w:val="000000" w:themeColor="text1"/>
          <w:sz w:val="32"/>
          <w:szCs w:val="32"/>
        </w:rPr>
        <w:t>195</w:t>
      </w:r>
      <w:r>
        <w:rPr>
          <w:rFonts w:hint="eastAsia" w:ascii="仿宋_GB2312" w:hAnsi="Times New Roman" w:eastAsia="仿宋_GB2312" w:cs="Times New Roman"/>
          <w:color w:val="000000" w:themeColor="text1"/>
          <w:sz w:val="32"/>
          <w:szCs w:val="32"/>
        </w:rPr>
        <w:t>公里、桥梁</w:t>
      </w:r>
      <w:r>
        <w:rPr>
          <w:rFonts w:hint="eastAsia" w:ascii="Times New Roman" w:hAnsi="Times New Roman" w:eastAsia="仿宋_GB2312" w:cs="Times New Roman"/>
          <w:color w:val="000000" w:themeColor="text1"/>
          <w:sz w:val="32"/>
          <w:szCs w:val="32"/>
        </w:rPr>
        <w:t>68</w:t>
      </w:r>
      <w:r>
        <w:rPr>
          <w:rFonts w:hint="eastAsia" w:ascii="仿宋_GB2312" w:hAnsi="Times New Roman" w:eastAsia="仿宋_GB2312" w:cs="Times New Roman"/>
          <w:color w:val="000000" w:themeColor="text1"/>
          <w:sz w:val="32"/>
          <w:szCs w:val="32"/>
        </w:rPr>
        <w:t>座。</w:t>
      </w:r>
      <w:r>
        <w:rPr>
          <w:rFonts w:hint="eastAsia" w:ascii="仿宋_GB2312" w:hAnsi="方正黑体_GBK" w:eastAsia="仿宋_GB2312" w:cs="方正黑体_GBK"/>
          <w:b/>
          <w:color w:val="000000" w:themeColor="text1"/>
          <w:sz w:val="32"/>
          <w:szCs w:val="32"/>
        </w:rPr>
        <w:t>三是</w:t>
      </w:r>
      <w:r>
        <w:rPr>
          <w:rFonts w:hint="eastAsia" w:ascii="仿宋_GB2312" w:hAnsi="Times New Roman" w:eastAsia="仿宋_GB2312" w:cs="Times New Roman"/>
          <w:color w:val="000000" w:themeColor="text1"/>
          <w:sz w:val="32"/>
          <w:szCs w:val="32"/>
        </w:rPr>
        <w:t>扎实推进重大基础设施项目。加快推进</w:t>
      </w:r>
      <w:r>
        <w:rPr>
          <w:rFonts w:hint="eastAsia" w:ascii="仿宋_GB2312" w:eastAsia="仿宋_GB2312"/>
          <w:color w:val="000000" w:themeColor="text1"/>
          <w:sz w:val="32"/>
          <w:szCs w:val="32"/>
        </w:rPr>
        <w:t>常泰长江大桥、靖江江阴长江隧道、常泰长江大桥北接线、沪陕高速平广段改扩建工程、阜溧高速建兴段等重点工程建设，开工建设北沿江高铁、盐泰锡常宜铁路和江阴第三过江通道。</w:t>
      </w:r>
    </w:p>
    <w:p>
      <w:pPr>
        <w:overflowPunct w:val="0"/>
        <w:spacing w:line="550" w:lineRule="exact"/>
        <w:ind w:firstLine="640" w:firstLineChars="200"/>
        <w:rPr>
          <w:rFonts w:ascii="仿宋_GB2312" w:hAnsi="Times New Roman" w:eastAsia="仿宋_GB2312" w:cs="Times New Roman"/>
          <w:color w:val="000000" w:themeColor="text1"/>
          <w:sz w:val="32"/>
          <w:szCs w:val="32"/>
        </w:rPr>
      </w:pPr>
      <w:r>
        <w:rPr>
          <w:rFonts w:hint="eastAsia" w:ascii="Times New Roman" w:hAnsi="Times New Roman" w:eastAsia="楷体_GB2312" w:cs="方正楷体_GBK"/>
          <w:color w:val="000000" w:themeColor="text1"/>
          <w:kern w:val="0"/>
          <w:sz w:val="32"/>
          <w:szCs w:val="32"/>
        </w:rPr>
        <w:t>4</w:t>
      </w:r>
      <w:r>
        <w:rPr>
          <w:rFonts w:hint="eastAsia" w:ascii="楷体_GB2312" w:hAnsi="方正楷体_GBK" w:eastAsia="楷体_GB2312" w:cs="方正楷体_GBK"/>
          <w:color w:val="000000" w:themeColor="text1"/>
          <w:sz w:val="32"/>
          <w:szCs w:val="32"/>
        </w:rPr>
        <w:t>．</w:t>
      </w:r>
      <w:r>
        <w:rPr>
          <w:rFonts w:hint="eastAsia" w:ascii="楷体_GB2312" w:hAnsi="方正楷体_GBK" w:eastAsia="楷体_GB2312" w:cs="方正楷体_GBK"/>
          <w:color w:val="000000" w:themeColor="text1"/>
          <w:kern w:val="0"/>
          <w:sz w:val="32"/>
          <w:szCs w:val="32"/>
        </w:rPr>
        <w:t>全面落实各项国家战略，推动区域协调发展。</w:t>
      </w:r>
      <w:r>
        <w:rPr>
          <w:rFonts w:hint="eastAsia" w:ascii="仿宋_GB2312" w:hAnsi="方正黑体_GBK" w:eastAsia="仿宋_GB2312" w:cs="方正黑体_GBK"/>
          <w:b/>
          <w:color w:val="000000" w:themeColor="text1"/>
          <w:sz w:val="32"/>
          <w:szCs w:val="32"/>
        </w:rPr>
        <w:t>一是</w:t>
      </w:r>
      <w:r>
        <w:rPr>
          <w:rFonts w:hint="eastAsia" w:ascii="仿宋_GB2312" w:hAnsi="Times New Roman" w:eastAsia="仿宋_GB2312" w:cs="Times New Roman"/>
          <w:color w:val="000000" w:themeColor="text1"/>
          <w:sz w:val="32"/>
          <w:szCs w:val="32"/>
        </w:rPr>
        <w:t>更高标准推动长江经济带发展。深入推进国家、省警示片等涉及我市的问题整改，确保问题见底、整治彻底、不留死角。加大生态环境投入，滚动推进长江生态修复和环境保护重点工程，打造“一带、两岛、三节点”沿江生态走廊</w:t>
      </w:r>
      <w:r>
        <w:rPr>
          <w:rStyle w:val="13"/>
          <w:rFonts w:hint="eastAsia" w:ascii="仿宋_GB2312" w:hAnsi="Times New Roman" w:eastAsia="仿宋_GB2312" w:cs="Times New Roman"/>
          <w:color w:val="000000" w:themeColor="text1"/>
          <w:sz w:val="32"/>
          <w:szCs w:val="32"/>
        </w:rPr>
        <w:footnoteReference w:id="6"/>
      </w:r>
      <w:r>
        <w:rPr>
          <w:rFonts w:hint="eastAsia" w:ascii="仿宋_GB2312" w:hAnsi="Times New Roman" w:eastAsia="仿宋_GB2312" w:cs="Times New Roman"/>
          <w:color w:val="000000" w:themeColor="text1"/>
          <w:sz w:val="32"/>
          <w:szCs w:val="32"/>
        </w:rPr>
        <w:t>。加强生态基础设施能力建设</w:t>
      </w:r>
      <w:r>
        <w:rPr>
          <w:rFonts w:hint="eastAsia" w:ascii="仿宋_GB2312" w:eastAsia="仿宋_GB2312"/>
          <w:color w:val="000000" w:themeColor="text1"/>
          <w:sz w:val="32"/>
          <w:szCs w:val="32"/>
        </w:rPr>
        <w:t>，加快生活垃圾焚烧发电二期和分类收集后端处理项目建设</w:t>
      </w:r>
      <w:r>
        <w:rPr>
          <w:rFonts w:hint="eastAsia" w:ascii="仿宋_GB2312" w:hAnsi="Times New Roman" w:eastAsia="仿宋_GB2312" w:cs="Times New Roman"/>
          <w:color w:val="000000" w:themeColor="text1"/>
          <w:sz w:val="32"/>
          <w:szCs w:val="32"/>
        </w:rPr>
        <w:t>，</w:t>
      </w:r>
      <w:r>
        <w:rPr>
          <w:rFonts w:hint="eastAsia" w:ascii="仿宋_GB2312" w:eastAsia="仿宋_GB2312"/>
          <w:color w:val="000000" w:themeColor="text1"/>
          <w:sz w:val="32"/>
          <w:szCs w:val="32"/>
        </w:rPr>
        <w:t>启动餐厨废弃物处理项目改扩建工程。打好污染防治攻坚战</w:t>
      </w:r>
      <w:r>
        <w:rPr>
          <w:rFonts w:hint="eastAsia" w:ascii="仿宋_GB2312" w:hAnsi="Times New Roman" w:eastAsia="仿宋_GB2312" w:cs="Times New Roman"/>
          <w:color w:val="000000" w:themeColor="text1"/>
          <w:sz w:val="32"/>
          <w:szCs w:val="32"/>
        </w:rPr>
        <w:t>，确保</w:t>
      </w:r>
      <w:r>
        <w:rPr>
          <w:rFonts w:hint="eastAsia" w:ascii="Times New Roman" w:hAnsi="Times New Roman" w:eastAsia="仿宋_GB2312" w:cs="Times New Roman"/>
          <w:color w:val="000000" w:themeColor="text1"/>
          <w:sz w:val="32"/>
          <w:szCs w:val="32"/>
        </w:rPr>
        <w:t>PM</w:t>
      </w:r>
      <w:r>
        <w:rPr>
          <w:rFonts w:hint="eastAsia" w:ascii="Times New Roman" w:hAnsi="Times New Roman" w:eastAsia="仿宋_GB2312" w:cs="Times New Roman"/>
          <w:color w:val="000000" w:themeColor="text1"/>
          <w:sz w:val="32"/>
          <w:szCs w:val="32"/>
          <w:vertAlign w:val="subscript"/>
        </w:rPr>
        <w:t>2</w:t>
      </w:r>
      <w:r>
        <w:rPr>
          <w:rFonts w:hint="eastAsia" w:ascii="仿宋_GB2312" w:hAnsi="Times New Roman" w:eastAsia="仿宋_GB2312" w:cs="Times New Roman"/>
          <w:color w:val="000000" w:themeColor="text1"/>
          <w:sz w:val="32"/>
          <w:szCs w:val="32"/>
          <w:vertAlign w:val="subscript"/>
        </w:rPr>
        <w:t>.</w:t>
      </w:r>
      <w:r>
        <w:rPr>
          <w:rFonts w:hint="eastAsia" w:ascii="Times New Roman" w:hAnsi="Times New Roman" w:eastAsia="仿宋_GB2312" w:cs="Times New Roman"/>
          <w:color w:val="000000" w:themeColor="text1"/>
          <w:sz w:val="32"/>
          <w:szCs w:val="32"/>
          <w:vertAlign w:val="subscript"/>
        </w:rPr>
        <w:t>5</w:t>
      </w:r>
      <w:r>
        <w:rPr>
          <w:rFonts w:hint="eastAsia" w:ascii="仿宋_GB2312" w:hAnsi="Times New Roman" w:eastAsia="仿宋_GB2312" w:cs="Times New Roman"/>
          <w:color w:val="000000" w:themeColor="text1"/>
          <w:sz w:val="32"/>
          <w:szCs w:val="32"/>
        </w:rPr>
        <w:t>平均浓度、空气质量优良天数全面完成省下目标任务</w:t>
      </w:r>
      <w:r>
        <w:rPr>
          <w:rFonts w:hint="eastAsia" w:ascii="仿宋_GB2312" w:eastAsia="仿宋_GB2312"/>
          <w:color w:val="000000" w:themeColor="text1"/>
          <w:sz w:val="32"/>
          <w:szCs w:val="32"/>
        </w:rPr>
        <w:t>，生态环境质量持续好转</w:t>
      </w:r>
      <w:r>
        <w:rPr>
          <w:rFonts w:hint="eastAsia" w:ascii="仿宋_GB2312" w:hAnsi="Times New Roman" w:eastAsia="仿宋_GB2312" w:cs="Times New Roman"/>
          <w:color w:val="000000" w:themeColor="text1"/>
          <w:sz w:val="32"/>
          <w:szCs w:val="32"/>
        </w:rPr>
        <w:t>。</w:t>
      </w:r>
      <w:r>
        <w:rPr>
          <w:rFonts w:hint="eastAsia" w:ascii="仿宋_GB2312" w:hAnsi="方正黑体_GBK" w:eastAsia="仿宋_GB2312" w:cs="方正黑体_GBK"/>
          <w:b/>
          <w:color w:val="000000" w:themeColor="text1"/>
          <w:sz w:val="32"/>
          <w:szCs w:val="32"/>
        </w:rPr>
        <w:t>二是</w:t>
      </w:r>
      <w:r>
        <w:rPr>
          <w:rFonts w:hint="eastAsia" w:ascii="仿宋_GB2312" w:hAnsi="Times New Roman" w:eastAsia="仿宋_GB2312" w:cs="Times New Roman"/>
          <w:color w:val="000000" w:themeColor="text1"/>
          <w:sz w:val="32"/>
          <w:szCs w:val="32"/>
        </w:rPr>
        <w:t>扎实推进长三角一体化进程。放大动车效应，深化与静安区政府友好市区合作交流。推进公共服务一体化，落实医保异地在线结算等一体化成果。构建锡常泰高质量跨江融合城市组团，推动江阴—靖江高质量跨江融合发展实验区建设，支持泰兴市与常州新北区跨江联动重点领域合作，奋力打造崛起中部的产业增长极。</w:t>
      </w:r>
      <w:r>
        <w:rPr>
          <w:rFonts w:hint="eastAsia" w:ascii="仿宋_GB2312" w:hAnsi="方正黑体_GBK" w:eastAsia="仿宋_GB2312" w:cs="方正黑体_GBK"/>
          <w:b/>
          <w:color w:val="000000" w:themeColor="text1"/>
          <w:sz w:val="32"/>
          <w:szCs w:val="32"/>
        </w:rPr>
        <w:t>三是</w:t>
      </w:r>
      <w:r>
        <w:rPr>
          <w:rFonts w:hint="eastAsia" w:ascii="仿宋_GB2312" w:hAnsi="Times New Roman" w:eastAsia="仿宋_GB2312" w:cs="Times New Roman"/>
          <w:color w:val="000000" w:themeColor="text1"/>
          <w:sz w:val="32"/>
          <w:szCs w:val="32"/>
        </w:rPr>
        <w:t>积极参与“一带一路”交汇点建设。引导本地企业积极参与“一带一路”基础设施建设，推进与东盟、非洲等地区产能和装备制造深度合作，重点打造船舶产业、航运物流、工程承包等合作基地，培育壮大跨境产业链，全年人均对外直接投资额增长</w:t>
      </w:r>
      <w:r>
        <w:rPr>
          <w:rFonts w:hint="eastAsia" w:ascii="Times New Roman" w:hAnsi="Times New Roman" w:eastAsia="仿宋_GB2312" w:cs="Times New Roman"/>
          <w:color w:val="000000" w:themeColor="text1"/>
          <w:sz w:val="32"/>
          <w:szCs w:val="32"/>
        </w:rPr>
        <w:t>5%</w:t>
      </w:r>
      <w:r>
        <w:rPr>
          <w:rFonts w:hint="eastAsia" w:ascii="仿宋_GB2312" w:hAnsi="Times New Roman" w:eastAsia="仿宋_GB2312" w:cs="Times New Roman"/>
          <w:color w:val="000000" w:themeColor="text1"/>
          <w:sz w:val="32"/>
          <w:szCs w:val="32"/>
        </w:rPr>
        <w:t>以上。</w:t>
      </w:r>
    </w:p>
    <w:p>
      <w:pPr>
        <w:overflowPunct w:val="0"/>
        <w:spacing w:line="550" w:lineRule="exact"/>
        <w:ind w:firstLine="640" w:firstLineChars="200"/>
        <w:rPr>
          <w:rFonts w:ascii="仿宋_GB2312" w:eastAsia="仿宋_GB2312"/>
          <w:color w:val="000000" w:themeColor="text1"/>
          <w:sz w:val="32"/>
          <w:szCs w:val="32"/>
        </w:rPr>
      </w:pPr>
      <w:r>
        <w:rPr>
          <w:rFonts w:hint="eastAsia" w:ascii="Times New Roman" w:hAnsi="Times New Roman" w:eastAsia="楷体_GB2312" w:cs="Times New Roman"/>
          <w:color w:val="000000" w:themeColor="text1"/>
          <w:sz w:val="32"/>
          <w:szCs w:val="32"/>
        </w:rPr>
        <w:t>5</w:t>
      </w:r>
      <w:r>
        <w:rPr>
          <w:rFonts w:hint="eastAsia" w:ascii="楷体_GB2312" w:hAnsi="方正楷体_GBK" w:eastAsia="楷体_GB2312" w:cs="方正楷体_GBK"/>
          <w:color w:val="000000" w:themeColor="text1"/>
          <w:sz w:val="32"/>
          <w:szCs w:val="32"/>
        </w:rPr>
        <w:t>．</w:t>
      </w:r>
      <w:r>
        <w:rPr>
          <w:rFonts w:hint="eastAsia" w:ascii="楷体_GB2312" w:hAnsi="Times New Roman" w:eastAsia="楷体_GB2312" w:cs="Times New Roman"/>
          <w:color w:val="000000" w:themeColor="text1"/>
          <w:sz w:val="32"/>
          <w:szCs w:val="32"/>
        </w:rPr>
        <w:t>深入推进改革开放，营造长三角一流营商环境。</w:t>
      </w:r>
      <w:r>
        <w:rPr>
          <w:rFonts w:hint="eastAsia" w:ascii="仿宋_GB2312" w:hAnsi="方正黑体_GBK" w:eastAsia="仿宋_GB2312" w:cs="方正黑体_GBK"/>
          <w:b/>
          <w:color w:val="000000" w:themeColor="text1"/>
          <w:sz w:val="32"/>
          <w:szCs w:val="32"/>
        </w:rPr>
        <w:t>一是</w:t>
      </w:r>
      <w:r>
        <w:rPr>
          <w:rFonts w:hint="eastAsia" w:ascii="仿宋_GB2312" w:hAnsi="Times New Roman" w:eastAsia="仿宋_GB2312" w:cs="Times New Roman"/>
          <w:color w:val="000000" w:themeColor="text1"/>
          <w:sz w:val="32"/>
          <w:szCs w:val="32"/>
        </w:rPr>
        <w:t>推进重点领域改革。深入推进园区改革、“亩均论英雄”改革，紧扣服务实体经济推进金融改革试点，深化产融综合服务中心建设，推广首贷中心服务模式，打造“凤城合伙人”品牌，推动更多企业上市融资。深化国资国企改革，推动国企转换经营机制、提高经营效益。推进集体经营性资产“股权到人、固化到户”改革试点，丰富农村承包土地“三权分置”改革内涵。</w:t>
      </w:r>
      <w:r>
        <w:rPr>
          <w:rFonts w:hint="eastAsia" w:ascii="仿宋_GB2312" w:hAnsi="方正黑体_GBK" w:eastAsia="仿宋_GB2312" w:cs="方正黑体_GBK"/>
          <w:b/>
          <w:color w:val="000000" w:themeColor="text1"/>
          <w:sz w:val="32"/>
          <w:szCs w:val="32"/>
        </w:rPr>
        <w:t>二是</w:t>
      </w:r>
      <w:r>
        <w:rPr>
          <w:rFonts w:hint="eastAsia" w:ascii="仿宋_GB2312" w:hAnsi="Times New Roman" w:eastAsia="仿宋_GB2312" w:cs="Times New Roman"/>
          <w:color w:val="000000" w:themeColor="text1"/>
          <w:sz w:val="32"/>
          <w:szCs w:val="32"/>
        </w:rPr>
        <w:t>提升对外开放水平。充分利用国内国际“两个市场、两种资源”，强化外贸优进优出，支持企业“拓外转内”，依托进口博览会，加强关系民生的消费品进口。推进跨境电子商务发展，强化外贸转型升级基地和服务贸易基地建设。发展壮大外贸主体，围绕“抓大、扶小、育新、稳链”，稳住外贸发展产业链供应链，实现外贸稳中提质。</w:t>
      </w:r>
      <w:r>
        <w:rPr>
          <w:rFonts w:hint="eastAsia" w:ascii="仿宋_GB2312" w:hAnsi="方正黑体_GBK" w:eastAsia="仿宋_GB2312" w:cs="方正黑体_GBK"/>
          <w:b/>
          <w:color w:val="000000" w:themeColor="text1"/>
          <w:sz w:val="32"/>
          <w:szCs w:val="32"/>
        </w:rPr>
        <w:t>三是</w:t>
      </w:r>
      <w:r>
        <w:rPr>
          <w:rFonts w:hint="eastAsia" w:ascii="仿宋_GB2312" w:hAnsi="Times New Roman" w:eastAsia="仿宋_GB2312" w:cs="Times New Roman"/>
          <w:color w:val="000000" w:themeColor="text1"/>
          <w:sz w:val="32"/>
          <w:szCs w:val="32"/>
        </w:rPr>
        <w:t>不断优化营商环境。深入实施优化营商环境六大专项行动，细化形成年度重点任务清单，加强月度通报、季度督查、年度考核，着力打造市场化、法治化、国际化营商环境。</w:t>
      </w:r>
      <w:r>
        <w:rPr>
          <w:rFonts w:hint="eastAsia" w:ascii="仿宋_GB2312" w:eastAsia="仿宋_GB2312"/>
          <w:color w:val="000000" w:themeColor="text1"/>
          <w:sz w:val="32"/>
          <w:szCs w:val="32"/>
        </w:rPr>
        <w:t>开展政务诚信评价和失信治理，建立契约式政策兑现机制，丰富守信激励应用场景，推动实现信用赋能实体经济。</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5000" w:type="pct"/>
          </w:tcPr>
          <w:p>
            <w:pPr>
              <w:spacing w:beforeLines="20" w:afterLines="20" w:line="440" w:lineRule="exact"/>
              <w:jc w:val="center"/>
              <w:rPr>
                <w:rFonts w:ascii="黑体" w:hAnsi="黑体" w:eastAsia="黑体" w:cs="方正黑体_GBK"/>
                <w:color w:val="000000" w:themeColor="text1"/>
                <w:sz w:val="24"/>
                <w:szCs w:val="24"/>
              </w:rPr>
            </w:pPr>
            <w:r>
              <w:rPr>
                <w:rFonts w:hint="eastAsia" w:ascii="黑体" w:hAnsi="黑体" w:eastAsia="黑体" w:cs="方正黑体_GBK"/>
                <w:color w:val="000000" w:themeColor="text1"/>
                <w:sz w:val="24"/>
                <w:szCs w:val="24"/>
              </w:rPr>
              <w:t>专栏：优化营商环境六大专项行动</w:t>
            </w:r>
          </w:p>
          <w:p>
            <w:pPr>
              <w:overflowPunct w:val="0"/>
              <w:spacing w:line="440" w:lineRule="exact"/>
              <w:ind w:firstLine="480" w:firstLineChars="200"/>
              <w:rPr>
                <w:rFonts w:ascii="仿宋_GB2312" w:eastAsia="仿宋_GB2312"/>
                <w:color w:val="000000" w:themeColor="text1"/>
                <w:sz w:val="32"/>
                <w:szCs w:val="32"/>
              </w:rPr>
            </w:pPr>
            <w:r>
              <w:rPr>
                <w:rFonts w:hint="eastAsia" w:ascii="仿宋_GB2312" w:eastAsia="仿宋_GB2312"/>
                <w:color w:val="000000" w:themeColor="text1"/>
                <w:sz w:val="24"/>
                <w:szCs w:val="24"/>
              </w:rPr>
              <w:t>按照市委市政府《关于聚焦企业关切进一步优化营商环境行动方案》，围绕企业投资生产经营等全过程中的“堵点”“痛点”，实施行政审批提速、资源要素保障、惠企政策落地、市场法治护航、城市环境提升、作风效能优化等六大行动。</w:t>
            </w:r>
          </w:p>
        </w:tc>
      </w:tr>
    </w:tbl>
    <w:p>
      <w:pPr>
        <w:overflowPunct w:val="0"/>
        <w:spacing w:line="550" w:lineRule="exact"/>
        <w:ind w:firstLine="640" w:firstLineChars="200"/>
        <w:rPr>
          <w:rFonts w:ascii="仿宋_GB2312" w:hAnsi="Times New Roman" w:eastAsia="仿宋_GB2312" w:cs="Times New Roman"/>
          <w:color w:val="000000" w:themeColor="text1"/>
          <w:sz w:val="32"/>
          <w:szCs w:val="32"/>
        </w:rPr>
      </w:pPr>
      <w:r>
        <w:rPr>
          <w:rFonts w:hint="eastAsia" w:ascii="Times New Roman" w:hAnsi="Times New Roman" w:eastAsia="楷体_GB2312" w:cs="Times New Roman"/>
          <w:color w:val="000000" w:themeColor="text1"/>
          <w:sz w:val="32"/>
          <w:szCs w:val="32"/>
        </w:rPr>
        <w:t>6</w:t>
      </w:r>
      <w:r>
        <w:rPr>
          <w:rFonts w:hint="eastAsia" w:ascii="楷体_GB2312" w:hAnsi="方正楷体_GBK" w:eastAsia="楷体_GB2312" w:cs="方正楷体_GBK"/>
          <w:color w:val="000000" w:themeColor="text1"/>
          <w:sz w:val="32"/>
          <w:szCs w:val="32"/>
        </w:rPr>
        <w:t>．</w:t>
      </w:r>
      <w:r>
        <w:rPr>
          <w:rFonts w:hint="eastAsia" w:ascii="楷体_GB2312" w:hAnsi="Times New Roman" w:eastAsia="楷体_GB2312" w:cs="Times New Roman"/>
          <w:color w:val="000000" w:themeColor="text1"/>
          <w:sz w:val="32"/>
          <w:szCs w:val="32"/>
        </w:rPr>
        <w:t>切实办好民生实事，打造人人向往的“幸福水天堂”。</w:t>
      </w:r>
      <w:r>
        <w:rPr>
          <w:rFonts w:hint="eastAsia" w:ascii="仿宋_GB2312" w:hAnsi="方正黑体_GBK" w:eastAsia="仿宋_GB2312" w:cs="方正黑体_GBK"/>
          <w:b/>
          <w:color w:val="000000" w:themeColor="text1"/>
          <w:sz w:val="32"/>
          <w:szCs w:val="32"/>
        </w:rPr>
        <w:t>一是</w:t>
      </w:r>
      <w:r>
        <w:rPr>
          <w:rFonts w:hint="eastAsia" w:ascii="仿宋_GB2312" w:hAnsi="Times New Roman" w:eastAsia="仿宋_GB2312" w:cs="Times New Roman"/>
          <w:color w:val="000000" w:themeColor="text1"/>
          <w:sz w:val="32"/>
          <w:szCs w:val="32"/>
        </w:rPr>
        <w:t>实施更加积极的就业政策。突出抓好高校毕业生、退役军人、农民工等重点群体就业，确保“双零”就业家庭全面动态清零。支持劳动者自主创业和提升技能，全年开展城乡劳动者就业技能培训</w:t>
      </w:r>
      <w:r>
        <w:rPr>
          <w:rFonts w:hint="eastAsia" w:ascii="Times New Roman" w:hAnsi="Times New Roman" w:eastAsia="仿宋_GB2312" w:cs="Times New Roman"/>
          <w:color w:val="000000" w:themeColor="text1"/>
          <w:sz w:val="32"/>
          <w:szCs w:val="32"/>
        </w:rPr>
        <w:t>3</w:t>
      </w:r>
      <w:r>
        <w:rPr>
          <w:rFonts w:hint="eastAsia" w:ascii="仿宋_GB2312"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rPr>
        <w:t>万人次。</w:t>
      </w:r>
      <w:r>
        <w:rPr>
          <w:rFonts w:hint="eastAsia" w:ascii="仿宋_GB2312" w:hAnsi="方正黑体_GBK" w:eastAsia="仿宋_GB2312" w:cs="方正黑体_GBK"/>
          <w:b/>
          <w:color w:val="000000" w:themeColor="text1"/>
          <w:sz w:val="32"/>
          <w:szCs w:val="32"/>
        </w:rPr>
        <w:t>二是</w:t>
      </w:r>
      <w:r>
        <w:rPr>
          <w:rFonts w:hint="eastAsia" w:ascii="仿宋_GB2312" w:hAnsi="Times New Roman" w:eastAsia="仿宋_GB2312" w:cs="Times New Roman"/>
          <w:color w:val="000000" w:themeColor="text1"/>
          <w:sz w:val="32"/>
          <w:szCs w:val="32"/>
        </w:rPr>
        <w:t>扎实补好民生短板。进一步健全民生问题常态化排查机制，公开征集、推动解决一批老百姓“急难愁烦”的突出问题。加快新建一批中小学幼儿园，增加优质资源供给。推进集团化办学，深化高中阶段学校内涵建设，全面提升优质教育均衡发展水平。强化医联体和专科联盟建设，进一步提升基层医疗卫生服务能力。提高城乡居民基本养老保险基础养老金标准，加快实施市妇幼保健院和第五、第六人民医院项目，启动市福利中心二期工程，完成</w:t>
      </w:r>
      <w:r>
        <w:rPr>
          <w:rFonts w:hint="eastAsia" w:ascii="Times New Roman" w:hAnsi="Times New Roman" w:eastAsia="仿宋_GB2312" w:cs="Times New Roman"/>
          <w:color w:val="000000" w:themeColor="text1"/>
          <w:sz w:val="32"/>
          <w:szCs w:val="32"/>
        </w:rPr>
        <w:t>3000</w:t>
      </w:r>
      <w:r>
        <w:rPr>
          <w:rFonts w:hint="eastAsia" w:ascii="仿宋_GB2312" w:hAnsi="Times New Roman" w:eastAsia="仿宋_GB2312" w:cs="Times New Roman"/>
          <w:color w:val="000000" w:themeColor="text1"/>
          <w:sz w:val="32"/>
          <w:szCs w:val="32"/>
        </w:rPr>
        <w:t>户特殊困难家庭适老化改造。推进文化名城建设，精心策划“百梅</w:t>
      </w:r>
      <w:r>
        <w:rPr>
          <w:rFonts w:hint="eastAsia" w:ascii="仿宋_GB2312" w:hAnsi="宋体" w:eastAsia="仿宋_GB2312" w:cs="宋体"/>
          <w:color w:val="000000" w:themeColor="text1"/>
          <w:sz w:val="32"/>
          <w:szCs w:val="32"/>
        </w:rPr>
        <w:t>争艳</w:t>
      </w:r>
      <w:r>
        <w:rPr>
          <w:rFonts w:hint="eastAsia" w:ascii="仿宋_GB2312" w:hAnsi="Times New Roman" w:eastAsia="仿宋_GB2312" w:cs="Times New Roman"/>
          <w:color w:val="000000" w:themeColor="text1"/>
          <w:sz w:val="32"/>
          <w:szCs w:val="32"/>
        </w:rPr>
        <w:t>”戏曲节、泰州学派国际学术峰会等活动，推进古盐运河文化带重点项目建设，进一步彰显江海文化底蕴与自信。</w:t>
      </w:r>
      <w:r>
        <w:rPr>
          <w:rFonts w:hint="eastAsia" w:ascii="仿宋_GB2312" w:hAnsi="方正黑体_GBK" w:eastAsia="仿宋_GB2312" w:cs="方正黑体_GBK"/>
          <w:b/>
          <w:color w:val="000000" w:themeColor="text1"/>
          <w:sz w:val="32"/>
          <w:szCs w:val="32"/>
        </w:rPr>
        <w:t>三是</w:t>
      </w:r>
      <w:r>
        <w:rPr>
          <w:rFonts w:hint="eastAsia" w:ascii="仿宋_GB2312" w:hAnsi="Times New Roman" w:eastAsia="仿宋_GB2312" w:cs="Times New Roman"/>
          <w:color w:val="000000" w:themeColor="text1"/>
          <w:sz w:val="32"/>
          <w:szCs w:val="32"/>
        </w:rPr>
        <w:t>加强社会综合治理。强化安全生产和食品药品安全责任，总结安全生产专项整治成绩经验，持续推进安全生产工作，提高本质安全水平，不断压降生产安全事故起数和死亡人数。加强市域社会治理现代化建设，推进“雪亮工程”</w:t>
      </w:r>
      <w:r>
        <w:rPr>
          <w:rStyle w:val="13"/>
          <w:rFonts w:hint="eastAsia" w:ascii="仿宋_GB2312" w:hAnsi="Times New Roman" w:eastAsia="仿宋_GB2312" w:cs="Times New Roman"/>
          <w:color w:val="000000" w:themeColor="text1"/>
          <w:sz w:val="32"/>
          <w:szCs w:val="32"/>
        </w:rPr>
        <w:footnoteReference w:id="7"/>
      </w:r>
      <w:r>
        <w:rPr>
          <w:rFonts w:hint="eastAsia" w:ascii="仿宋_GB2312" w:hAnsi="Times New Roman" w:eastAsia="仿宋_GB2312" w:cs="Times New Roman"/>
          <w:color w:val="000000" w:themeColor="text1"/>
          <w:sz w:val="32"/>
          <w:szCs w:val="32"/>
        </w:rPr>
        <w:t>升级版技防城建设。</w:t>
      </w:r>
    </w:p>
    <w:p>
      <w:pPr>
        <w:overflowPunct w:val="0"/>
        <w:spacing w:line="550" w:lineRule="exact"/>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br w:type="page"/>
      </w:r>
    </w:p>
    <w:p>
      <w:pPr>
        <w:overflowPunct w:val="0"/>
        <w:spacing w:afterLines="50" w:line="600" w:lineRule="exact"/>
        <w:rPr>
          <w:rFonts w:ascii="Times New Roman" w:hAnsi="Times New Roman" w:eastAsia="黑体" w:cs="Times New Roman"/>
          <w:color w:val="000000" w:themeColor="text1"/>
          <w:sz w:val="30"/>
          <w:szCs w:val="30"/>
        </w:rPr>
      </w:pPr>
      <w:r>
        <w:rPr>
          <w:rFonts w:hint="eastAsia" w:ascii="Times New Roman" w:hAnsi="Times New Roman" w:eastAsia="黑体" w:cs="Times New Roman"/>
          <w:color w:val="000000" w:themeColor="text1"/>
          <w:sz w:val="30"/>
          <w:szCs w:val="30"/>
        </w:rPr>
        <w:t>附录1：</w:t>
      </w:r>
    </w:p>
    <w:p>
      <w:pPr>
        <w:overflowPunct w:val="0"/>
        <w:spacing w:afterLines="50" w:line="600" w:lineRule="exact"/>
        <w:jc w:val="center"/>
        <w:rPr>
          <w:rFonts w:ascii="方正小标宋_GBK" w:hAnsi="方正小标宋_GBK" w:eastAsia="方正小标宋_GBK" w:cs="方正小标宋_GBK"/>
          <w:color w:val="000000" w:themeColor="text1"/>
          <w:sz w:val="36"/>
          <w:szCs w:val="36"/>
        </w:rPr>
      </w:pPr>
      <w:r>
        <w:rPr>
          <w:rFonts w:hint="eastAsia" w:ascii="Times New Roman" w:hAnsi="Times New Roman" w:eastAsia="方正小标宋_GBK" w:cs="方正小标宋_GBK"/>
          <w:color w:val="000000" w:themeColor="text1"/>
          <w:sz w:val="36"/>
          <w:szCs w:val="36"/>
        </w:rPr>
        <w:t>2020</w:t>
      </w:r>
      <w:r>
        <w:rPr>
          <w:rFonts w:hint="eastAsia" w:ascii="方正小标宋_GBK" w:hAnsi="方正小标宋_GBK" w:eastAsia="方正小标宋_GBK" w:cs="方正小标宋_GBK"/>
          <w:color w:val="000000" w:themeColor="text1"/>
          <w:sz w:val="36"/>
          <w:szCs w:val="36"/>
        </w:rPr>
        <w:t>年国民经济和社会发展计划完成情况</w:t>
      </w:r>
    </w:p>
    <w:tbl>
      <w:tblPr>
        <w:tblStyle w:val="7"/>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5833"/>
        <w:gridCol w:w="1756"/>
        <w:gridCol w:w="136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tblHeader/>
          <w:jc w:val="center"/>
        </w:trPr>
        <w:tc>
          <w:tcPr>
            <w:tcW w:w="3256" w:type="pct"/>
            <w:tcBorders>
              <w:tl2br w:val="nil"/>
              <w:tr2bl w:val="nil"/>
            </w:tcBorders>
            <w:shd w:val="clear" w:color="auto" w:fill="auto"/>
            <w:vAlign w:val="center"/>
          </w:tcPr>
          <w:p>
            <w:pPr>
              <w:spacing w:line="320" w:lineRule="exact"/>
              <w:jc w:val="center"/>
              <w:rPr>
                <w:rFonts w:ascii="黑体" w:hAnsi="黑体" w:eastAsia="黑体" w:cs="方正黑体_GBK"/>
                <w:color w:val="000000" w:themeColor="text1"/>
                <w:kern w:val="0"/>
                <w:sz w:val="24"/>
                <w:szCs w:val="24"/>
              </w:rPr>
            </w:pPr>
            <w:r>
              <w:rPr>
                <w:rFonts w:hint="eastAsia" w:ascii="黑体" w:hAnsi="黑体" w:eastAsia="黑体" w:cs="方正黑体_GBK"/>
                <w:color w:val="000000" w:themeColor="text1"/>
                <w:kern w:val="0"/>
                <w:sz w:val="24"/>
                <w:szCs w:val="24"/>
              </w:rPr>
              <w:t>指  标  名  称</w:t>
            </w:r>
          </w:p>
        </w:tc>
        <w:tc>
          <w:tcPr>
            <w:tcW w:w="980" w:type="pct"/>
            <w:tcBorders>
              <w:tl2br w:val="nil"/>
              <w:tr2bl w:val="nil"/>
            </w:tcBorders>
            <w:shd w:val="clear" w:color="auto" w:fill="auto"/>
            <w:vAlign w:val="center"/>
          </w:tcPr>
          <w:p>
            <w:pPr>
              <w:spacing w:line="320" w:lineRule="exact"/>
              <w:jc w:val="center"/>
              <w:rPr>
                <w:rFonts w:ascii="黑体" w:hAnsi="黑体" w:eastAsia="黑体" w:cs="方正黑体_GBK"/>
                <w:color w:val="000000" w:themeColor="text1"/>
                <w:kern w:val="0"/>
                <w:sz w:val="24"/>
                <w:szCs w:val="24"/>
              </w:rPr>
            </w:pPr>
            <w:r>
              <w:rPr>
                <w:rFonts w:hint="eastAsia" w:ascii="黑体" w:hAnsi="黑体" w:eastAsia="黑体" w:cs="方正黑体_GBK"/>
                <w:color w:val="000000" w:themeColor="text1"/>
                <w:kern w:val="0"/>
                <w:sz w:val="24"/>
                <w:szCs w:val="24"/>
              </w:rPr>
              <w:t>年度计划</w:t>
            </w:r>
          </w:p>
        </w:tc>
        <w:tc>
          <w:tcPr>
            <w:tcW w:w="764" w:type="pct"/>
            <w:tcBorders>
              <w:tl2br w:val="nil"/>
              <w:tr2bl w:val="nil"/>
            </w:tcBorders>
            <w:shd w:val="clear" w:color="auto" w:fill="auto"/>
            <w:vAlign w:val="center"/>
          </w:tcPr>
          <w:p>
            <w:pPr>
              <w:spacing w:line="320" w:lineRule="exact"/>
              <w:jc w:val="center"/>
              <w:rPr>
                <w:rFonts w:ascii="黑体" w:hAnsi="黑体" w:eastAsia="黑体" w:cs="方正黑体_GBK"/>
                <w:color w:val="000000" w:themeColor="text1"/>
                <w:kern w:val="0"/>
                <w:sz w:val="24"/>
                <w:szCs w:val="24"/>
              </w:rPr>
            </w:pPr>
            <w:r>
              <w:rPr>
                <w:rFonts w:hint="eastAsia" w:ascii="黑体" w:hAnsi="黑体" w:eastAsia="黑体" w:cs="方正黑体_GBK"/>
                <w:color w:val="000000" w:themeColor="text1"/>
                <w:kern w:val="0"/>
                <w:sz w:val="24"/>
                <w:szCs w:val="24"/>
              </w:rPr>
              <w:t>预计完成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3256" w:type="pct"/>
            <w:tcBorders>
              <w:tl2br w:val="nil"/>
              <w:tr2bl w:val="nil"/>
            </w:tcBorders>
            <w:shd w:val="clear" w:color="auto" w:fill="auto"/>
            <w:vAlign w:val="center"/>
          </w:tcPr>
          <w:p>
            <w:pPr>
              <w:spacing w:line="320" w:lineRule="exac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一、经济发展高质量</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p>
        </w:tc>
        <w:tc>
          <w:tcPr>
            <w:tcW w:w="764" w:type="pct"/>
            <w:tcBorders>
              <w:tl2br w:val="nil"/>
              <w:tr2bl w:val="nil"/>
            </w:tcBorders>
            <w:shd w:val="clear" w:color="auto" w:fill="auto"/>
            <w:vAlign w:val="center"/>
          </w:tcPr>
          <w:p>
            <w:pPr>
              <w:spacing w:line="320" w:lineRule="exact"/>
              <w:jc w:val="center"/>
              <w:rPr>
                <w:rFonts w:ascii="仿宋_GB2312" w:hAnsi="宋体" w:eastAsia="仿宋_GB2312" w:cs="宋体"/>
                <w:color w:val="000000" w:themeColor="text1"/>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3256" w:type="pct"/>
            <w:tcBorders>
              <w:tl2br w:val="nil"/>
              <w:tr2bl w:val="nil"/>
            </w:tcBorders>
            <w:shd w:val="clear" w:color="auto" w:fill="auto"/>
            <w:vAlign w:val="center"/>
          </w:tcPr>
          <w:p>
            <w:pPr>
              <w:widowControl/>
              <w:spacing w:line="320" w:lineRule="exact"/>
              <w:ind w:firstLine="480" w:firstLineChars="20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w:t>
            </w:r>
            <w:r>
              <w:rPr>
                <w:rFonts w:hint="eastAsia" w:ascii="仿宋_GB2312" w:hAnsi="宋体" w:eastAsia="仿宋_GB2312" w:cs="宋体"/>
                <w:color w:val="000000" w:themeColor="text1"/>
                <w:kern w:val="0"/>
                <w:sz w:val="24"/>
                <w:szCs w:val="24"/>
              </w:rPr>
              <w:t>．地区生产总值</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6</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5%</w:t>
            </w:r>
            <w:r>
              <w:rPr>
                <w:rFonts w:hint="eastAsia" w:ascii="仿宋_GB2312" w:hAnsi="宋体" w:eastAsia="仿宋_GB2312" w:cs="宋体"/>
                <w:color w:val="000000" w:themeColor="text1"/>
                <w:kern w:val="0"/>
                <w:sz w:val="24"/>
                <w:szCs w:val="24"/>
              </w:rPr>
              <w:t>左右</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3</w:t>
            </w:r>
            <w:r>
              <w:rPr>
                <w:rFonts w:hint="eastAsia" w:ascii="仿宋_GB2312" w:hAnsi="宋体"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lang w:val="en-US" w:eastAsia="zh-CN"/>
              </w:rPr>
              <w:t>6</w:t>
            </w:r>
            <w:r>
              <w:rPr>
                <w:rFonts w:hint="eastAsia" w:ascii="Times New Roman" w:hAnsi="Times New Roman" w:eastAsia="仿宋_GB2312" w:cs="宋体"/>
                <w:color w:val="000000" w:themeColor="text1"/>
                <w:kern w:val="0"/>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3256" w:type="pct"/>
            <w:tcBorders>
              <w:tl2br w:val="nil"/>
              <w:tr2bl w:val="nil"/>
            </w:tcBorders>
            <w:shd w:val="clear" w:color="auto" w:fill="auto"/>
            <w:vAlign w:val="center"/>
          </w:tcPr>
          <w:p>
            <w:pPr>
              <w:widowControl/>
              <w:spacing w:line="320" w:lineRule="exact"/>
              <w:ind w:firstLine="1200" w:firstLineChars="500"/>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服务业增加值</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6</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5%</w:t>
            </w:r>
            <w:r>
              <w:rPr>
                <w:rFonts w:hint="eastAsia" w:ascii="仿宋_GB2312" w:hAnsi="宋体" w:eastAsia="仿宋_GB2312" w:cs="宋体"/>
                <w:color w:val="000000" w:themeColor="text1"/>
                <w:kern w:val="0"/>
                <w:sz w:val="24"/>
                <w:szCs w:val="24"/>
              </w:rPr>
              <w:t>左右</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3</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lang w:val="en-US" w:eastAsia="zh-CN"/>
              </w:rPr>
              <w:t>6</w:t>
            </w:r>
            <w:r>
              <w:rPr>
                <w:rFonts w:hint="eastAsia" w:ascii="Times New Roman" w:hAnsi="Times New Roman" w:eastAsia="仿宋_GB2312" w:cs="宋体"/>
                <w:color w:val="000000" w:themeColor="text1"/>
                <w:kern w:val="0"/>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3256" w:type="pct"/>
            <w:tcBorders>
              <w:tl2br w:val="nil"/>
              <w:tr2bl w:val="nil"/>
            </w:tcBorders>
            <w:shd w:val="clear" w:color="auto" w:fill="auto"/>
            <w:vAlign w:val="center"/>
          </w:tcPr>
          <w:p>
            <w:pPr>
              <w:widowControl/>
              <w:spacing w:line="320" w:lineRule="exact"/>
              <w:ind w:firstLine="480" w:firstLineChars="20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2</w:t>
            </w:r>
            <w:r>
              <w:rPr>
                <w:rFonts w:hint="eastAsia" w:ascii="仿宋_GB2312" w:hAnsi="宋体" w:eastAsia="仿宋_GB2312" w:cs="宋体"/>
                <w:color w:val="000000" w:themeColor="text1"/>
                <w:kern w:val="0"/>
                <w:sz w:val="24"/>
                <w:szCs w:val="24"/>
              </w:rPr>
              <w:t>．一般公共预算收入</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2</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5%</w:t>
            </w:r>
            <w:r>
              <w:rPr>
                <w:rFonts w:hint="eastAsia" w:ascii="仿宋_GB2312" w:hAnsi="宋体" w:eastAsia="仿宋_GB2312" w:cs="宋体"/>
                <w:color w:val="000000" w:themeColor="text1"/>
                <w:kern w:val="0"/>
                <w:sz w:val="24"/>
                <w:szCs w:val="24"/>
              </w:rPr>
              <w:t>左右</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2</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3256" w:type="pct"/>
            <w:tcBorders>
              <w:tl2br w:val="nil"/>
              <w:tr2bl w:val="nil"/>
            </w:tcBorders>
            <w:shd w:val="clear" w:color="auto" w:fill="auto"/>
            <w:vAlign w:val="center"/>
          </w:tcPr>
          <w:p>
            <w:pPr>
              <w:widowControl/>
              <w:spacing w:line="320" w:lineRule="exact"/>
              <w:ind w:firstLine="480" w:firstLineChars="20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3</w:t>
            </w:r>
            <w:r>
              <w:rPr>
                <w:rFonts w:hint="eastAsia" w:ascii="仿宋_GB2312" w:hAnsi="宋体" w:eastAsia="仿宋_GB2312" w:cs="宋体"/>
                <w:color w:val="000000" w:themeColor="text1"/>
                <w:kern w:val="0"/>
                <w:sz w:val="24"/>
                <w:szCs w:val="24"/>
              </w:rPr>
              <w:t>．规模以上固定资产投资</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5</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5%</w:t>
            </w:r>
            <w:r>
              <w:rPr>
                <w:rFonts w:hint="eastAsia" w:ascii="仿宋_GB2312" w:hAnsi="宋体" w:eastAsia="仿宋_GB2312" w:cs="宋体"/>
                <w:color w:val="000000" w:themeColor="text1"/>
                <w:kern w:val="0"/>
                <w:sz w:val="24"/>
                <w:szCs w:val="24"/>
              </w:rPr>
              <w:t>左右</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0</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3256" w:type="pct"/>
            <w:tcBorders>
              <w:tl2br w:val="nil"/>
              <w:tr2bl w:val="nil"/>
            </w:tcBorders>
            <w:shd w:val="clear" w:color="auto" w:fill="auto"/>
            <w:vAlign w:val="center"/>
          </w:tcPr>
          <w:p>
            <w:pPr>
              <w:widowControl/>
              <w:spacing w:line="320" w:lineRule="exact"/>
              <w:ind w:firstLine="1200" w:firstLineChars="500"/>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工业投资</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6%</w:t>
            </w:r>
            <w:r>
              <w:rPr>
                <w:rFonts w:hint="eastAsia" w:ascii="仿宋_GB2312" w:hAnsi="宋体" w:eastAsia="仿宋_GB2312" w:cs="宋体"/>
                <w:color w:val="000000" w:themeColor="text1"/>
                <w:kern w:val="0"/>
                <w:sz w:val="24"/>
                <w:szCs w:val="24"/>
              </w:rPr>
              <w:t>以上</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5</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3256" w:type="pct"/>
            <w:tcBorders>
              <w:tl2br w:val="nil"/>
              <w:tr2bl w:val="nil"/>
            </w:tcBorders>
            <w:shd w:val="clear" w:color="auto" w:fill="auto"/>
            <w:vAlign w:val="center"/>
          </w:tcPr>
          <w:p>
            <w:pPr>
              <w:widowControl/>
              <w:spacing w:line="320" w:lineRule="exact"/>
              <w:ind w:firstLine="1200" w:firstLineChars="500"/>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高技术制造业投资占工业投资比重</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30%</w:t>
            </w:r>
            <w:r>
              <w:rPr>
                <w:rFonts w:hint="eastAsia" w:ascii="仿宋_GB2312" w:hAnsi="宋体" w:eastAsia="仿宋_GB2312" w:cs="宋体"/>
                <w:color w:val="000000" w:themeColor="text1"/>
                <w:kern w:val="0"/>
                <w:sz w:val="24"/>
                <w:szCs w:val="24"/>
              </w:rPr>
              <w:t>左右</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25</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3256" w:type="pct"/>
            <w:tcBorders>
              <w:tl2br w:val="nil"/>
              <w:tr2bl w:val="nil"/>
            </w:tcBorders>
            <w:shd w:val="clear" w:color="auto" w:fill="auto"/>
            <w:vAlign w:val="center"/>
          </w:tcPr>
          <w:p>
            <w:pPr>
              <w:widowControl/>
              <w:spacing w:line="320" w:lineRule="exact"/>
              <w:ind w:firstLine="480" w:firstLineChars="20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4</w:t>
            </w:r>
            <w:r>
              <w:rPr>
                <w:rFonts w:hint="eastAsia" w:ascii="仿宋_GB2312" w:hAnsi="宋体" w:eastAsia="仿宋_GB2312" w:cs="宋体"/>
                <w:color w:val="000000" w:themeColor="text1"/>
                <w:kern w:val="0"/>
                <w:sz w:val="24"/>
                <w:szCs w:val="24"/>
              </w:rPr>
              <w:t>．社会消费品零售总额</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7%</w:t>
            </w:r>
            <w:r>
              <w:rPr>
                <w:rFonts w:hint="eastAsia" w:ascii="仿宋_GB2312" w:hAnsi="宋体" w:eastAsia="仿宋_GB2312" w:cs="宋体"/>
                <w:color w:val="000000" w:themeColor="text1"/>
                <w:kern w:val="0"/>
                <w:sz w:val="24"/>
                <w:szCs w:val="24"/>
              </w:rPr>
              <w:t>左右</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正增长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3256" w:type="pct"/>
            <w:tcBorders>
              <w:tl2br w:val="nil"/>
              <w:tr2bl w:val="nil"/>
            </w:tcBorders>
            <w:shd w:val="clear" w:color="auto" w:fill="auto"/>
            <w:vAlign w:val="center"/>
          </w:tcPr>
          <w:p>
            <w:pPr>
              <w:widowControl/>
              <w:spacing w:line="320" w:lineRule="exact"/>
              <w:ind w:firstLine="480" w:firstLineChars="20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5</w:t>
            </w:r>
            <w:r>
              <w:rPr>
                <w:rFonts w:hint="eastAsia" w:ascii="仿宋_GB2312" w:hAnsi="宋体" w:eastAsia="仿宋_GB2312" w:cs="宋体"/>
                <w:color w:val="000000" w:themeColor="text1"/>
                <w:kern w:val="0"/>
                <w:sz w:val="24"/>
                <w:szCs w:val="24"/>
              </w:rPr>
              <w:t>．居民消费价格涨幅</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3%</w:t>
            </w:r>
            <w:r>
              <w:rPr>
                <w:rFonts w:hint="eastAsia" w:ascii="仿宋_GB2312" w:hAnsi="宋体" w:eastAsia="仿宋_GB2312" w:cs="宋体"/>
                <w:color w:val="000000" w:themeColor="text1"/>
                <w:kern w:val="0"/>
                <w:sz w:val="24"/>
                <w:szCs w:val="24"/>
              </w:rPr>
              <w:t>左右</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2</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3256" w:type="pct"/>
            <w:tcBorders>
              <w:tl2br w:val="nil"/>
              <w:tr2bl w:val="nil"/>
            </w:tcBorders>
            <w:shd w:val="clear" w:color="auto" w:fill="auto"/>
            <w:vAlign w:val="center"/>
          </w:tcPr>
          <w:p>
            <w:pPr>
              <w:widowControl/>
              <w:spacing w:line="320" w:lineRule="exact"/>
              <w:ind w:firstLine="480" w:firstLineChars="20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6</w:t>
            </w:r>
            <w:r>
              <w:rPr>
                <w:rFonts w:hint="eastAsia" w:ascii="仿宋_GB2312" w:hAnsi="宋体" w:eastAsia="仿宋_GB2312" w:cs="宋体"/>
                <w:color w:val="000000" w:themeColor="text1"/>
                <w:kern w:val="0"/>
                <w:sz w:val="24"/>
                <w:szCs w:val="24"/>
              </w:rPr>
              <w:t>．新增规模以上工业企业</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260</w:t>
            </w:r>
            <w:r>
              <w:rPr>
                <w:rFonts w:hint="eastAsia" w:ascii="仿宋_GB2312" w:hAnsi="宋体" w:eastAsia="仿宋_GB2312" w:cs="宋体"/>
                <w:color w:val="000000" w:themeColor="text1"/>
                <w:kern w:val="0"/>
                <w:sz w:val="24"/>
                <w:szCs w:val="24"/>
              </w:rPr>
              <w:t>家</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524</w:t>
            </w:r>
            <w:r>
              <w:rPr>
                <w:rFonts w:hint="eastAsia" w:ascii="仿宋_GB2312" w:hAnsi="宋体" w:eastAsia="仿宋_GB2312" w:cs="宋体"/>
                <w:color w:val="000000" w:themeColor="text1"/>
                <w:kern w:val="0"/>
                <w:sz w:val="24"/>
                <w:szCs w:val="24"/>
              </w:rPr>
              <w:t>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3256" w:type="pct"/>
            <w:tcBorders>
              <w:tl2br w:val="nil"/>
              <w:tr2bl w:val="nil"/>
            </w:tcBorders>
            <w:shd w:val="clear" w:color="auto" w:fill="auto"/>
            <w:vAlign w:val="center"/>
          </w:tcPr>
          <w:p>
            <w:pPr>
              <w:widowControl/>
              <w:spacing w:line="320" w:lineRule="exact"/>
              <w:ind w:firstLine="48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7</w:t>
            </w:r>
            <w:r>
              <w:rPr>
                <w:rFonts w:hint="eastAsia" w:ascii="仿宋_GB2312" w:hAnsi="宋体" w:eastAsia="仿宋_GB2312" w:cs="宋体"/>
                <w:color w:val="000000" w:themeColor="text1"/>
                <w:kern w:val="0"/>
                <w:sz w:val="24"/>
                <w:szCs w:val="24"/>
              </w:rPr>
              <w:t>．全社会研发经费支出占</w:t>
            </w:r>
            <w:r>
              <w:rPr>
                <w:rFonts w:hint="eastAsia" w:ascii="Times New Roman" w:hAnsi="Times New Roman" w:eastAsia="仿宋_GB2312" w:cs="宋体"/>
                <w:color w:val="000000" w:themeColor="text1"/>
                <w:kern w:val="0"/>
                <w:sz w:val="24"/>
                <w:szCs w:val="24"/>
              </w:rPr>
              <w:t>GDP</w:t>
            </w:r>
            <w:r>
              <w:rPr>
                <w:rFonts w:hint="eastAsia" w:ascii="仿宋_GB2312" w:hAnsi="宋体" w:eastAsia="仿宋_GB2312" w:cs="宋体"/>
                <w:color w:val="000000" w:themeColor="text1"/>
                <w:kern w:val="0"/>
                <w:sz w:val="24"/>
                <w:szCs w:val="24"/>
              </w:rPr>
              <w:t>比重</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2</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6%</w:t>
            </w:r>
            <w:r>
              <w:rPr>
                <w:rFonts w:hint="eastAsia" w:ascii="仿宋_GB2312" w:hAnsi="宋体" w:eastAsia="仿宋_GB2312" w:cs="宋体"/>
                <w:color w:val="000000" w:themeColor="text1"/>
                <w:kern w:val="0"/>
                <w:sz w:val="24"/>
                <w:szCs w:val="24"/>
              </w:rPr>
              <w:t>以上</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2</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3256" w:type="pct"/>
            <w:tcBorders>
              <w:tl2br w:val="nil"/>
              <w:tr2bl w:val="nil"/>
            </w:tcBorders>
            <w:shd w:val="clear" w:color="auto" w:fill="auto"/>
            <w:vAlign w:val="center"/>
          </w:tcPr>
          <w:p>
            <w:pPr>
              <w:widowControl/>
              <w:spacing w:line="320" w:lineRule="exact"/>
              <w:ind w:firstLine="48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8</w:t>
            </w:r>
            <w:r>
              <w:rPr>
                <w:rFonts w:hint="eastAsia" w:ascii="仿宋_GB2312" w:hAnsi="宋体" w:eastAsia="仿宋_GB2312" w:cs="宋体"/>
                <w:color w:val="000000" w:themeColor="text1"/>
                <w:kern w:val="0"/>
                <w:sz w:val="24"/>
                <w:szCs w:val="24"/>
              </w:rPr>
              <w:t>．净增高新技术企业数</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120</w:t>
            </w:r>
            <w:r>
              <w:rPr>
                <w:rFonts w:hint="eastAsia" w:ascii="仿宋_GB2312" w:hAnsi="宋体" w:eastAsia="仿宋_GB2312" w:cs="宋体"/>
                <w:color w:val="000000" w:themeColor="text1"/>
                <w:kern w:val="0"/>
                <w:sz w:val="24"/>
                <w:szCs w:val="24"/>
              </w:rPr>
              <w:t>家</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278</w:t>
            </w:r>
            <w:r>
              <w:rPr>
                <w:rFonts w:hint="eastAsia" w:ascii="仿宋_GB2312" w:hAnsi="宋体" w:eastAsia="仿宋_GB2312" w:cs="宋体"/>
                <w:color w:val="000000" w:themeColor="text1"/>
                <w:kern w:val="0"/>
                <w:sz w:val="24"/>
                <w:szCs w:val="24"/>
              </w:rPr>
              <w:t>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3256" w:type="pct"/>
            <w:tcBorders>
              <w:tl2br w:val="nil"/>
              <w:tr2bl w:val="nil"/>
            </w:tcBorders>
            <w:shd w:val="clear" w:color="auto" w:fill="auto"/>
            <w:vAlign w:val="center"/>
          </w:tcPr>
          <w:p>
            <w:pPr>
              <w:widowControl/>
              <w:spacing w:line="320" w:lineRule="exact"/>
              <w:ind w:firstLine="48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9</w:t>
            </w:r>
            <w:r>
              <w:rPr>
                <w:rFonts w:hint="eastAsia" w:ascii="仿宋_GB2312" w:hAnsi="宋体" w:eastAsia="仿宋_GB2312" w:cs="宋体"/>
                <w:color w:val="000000" w:themeColor="text1"/>
                <w:kern w:val="0"/>
                <w:sz w:val="24"/>
                <w:szCs w:val="24"/>
              </w:rPr>
              <w:t>．高新技术产业产值占规模以上工业产值比重</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45%</w:t>
            </w:r>
            <w:r>
              <w:rPr>
                <w:rFonts w:hint="eastAsia" w:ascii="仿宋_GB2312" w:hAnsi="宋体" w:eastAsia="仿宋_GB2312" w:cs="宋体"/>
                <w:color w:val="000000" w:themeColor="text1"/>
                <w:kern w:val="0"/>
                <w:sz w:val="24"/>
                <w:szCs w:val="24"/>
              </w:rPr>
              <w:t>以上</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45</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3256" w:type="pct"/>
            <w:tcBorders>
              <w:tl2br w:val="nil"/>
              <w:tr2bl w:val="nil"/>
            </w:tcBorders>
            <w:shd w:val="clear" w:color="auto" w:fill="auto"/>
            <w:vAlign w:val="center"/>
          </w:tcPr>
          <w:p>
            <w:pPr>
              <w:widowControl/>
              <w:spacing w:line="320" w:lineRule="exact"/>
              <w:ind w:firstLine="480" w:firstLineChars="20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10</w:t>
            </w:r>
            <w:r>
              <w:rPr>
                <w:rFonts w:hint="eastAsia" w:ascii="仿宋_GB2312" w:hAnsi="宋体" w:eastAsia="仿宋_GB2312" w:cs="宋体"/>
                <w:color w:val="000000" w:themeColor="text1"/>
                <w:kern w:val="0"/>
                <w:sz w:val="24"/>
                <w:szCs w:val="24"/>
              </w:rPr>
              <w:t>．每万人发明专利拥有量</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15</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5</w:t>
            </w:r>
            <w:r>
              <w:rPr>
                <w:rFonts w:hint="eastAsia" w:ascii="仿宋_GB2312" w:hAnsi="宋体" w:eastAsia="仿宋_GB2312" w:cs="宋体"/>
                <w:color w:val="000000" w:themeColor="text1"/>
                <w:kern w:val="0"/>
                <w:sz w:val="24"/>
                <w:szCs w:val="24"/>
              </w:rPr>
              <w:t>件</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19</w:t>
            </w:r>
            <w:r>
              <w:rPr>
                <w:rFonts w:hint="eastAsia" w:ascii="仿宋_GB2312" w:hAnsi="宋体" w:eastAsia="仿宋_GB2312" w:cs="宋体"/>
                <w:color w:val="000000" w:themeColor="text1"/>
                <w:kern w:val="0"/>
                <w:sz w:val="24"/>
                <w:szCs w:val="24"/>
              </w:rPr>
              <w:t>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3256" w:type="pct"/>
            <w:tcBorders>
              <w:tl2br w:val="nil"/>
              <w:tr2bl w:val="nil"/>
            </w:tcBorders>
            <w:shd w:val="clear" w:color="auto" w:fill="auto"/>
            <w:vAlign w:val="center"/>
          </w:tcPr>
          <w:p>
            <w:pPr>
              <w:widowControl/>
              <w:spacing w:line="320" w:lineRule="exac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二、改革开放高质量</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3256" w:type="pct"/>
            <w:tcBorders>
              <w:tl2br w:val="nil"/>
              <w:tr2bl w:val="nil"/>
            </w:tcBorders>
            <w:shd w:val="clear" w:color="auto" w:fill="auto"/>
            <w:vAlign w:val="center"/>
          </w:tcPr>
          <w:p>
            <w:pPr>
              <w:widowControl/>
              <w:spacing w:line="320" w:lineRule="exact"/>
              <w:ind w:firstLine="480" w:firstLineChars="20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11</w:t>
            </w:r>
            <w:r>
              <w:rPr>
                <w:rFonts w:hint="eastAsia" w:ascii="仿宋_GB2312" w:hAnsi="宋体" w:eastAsia="仿宋_GB2312" w:cs="宋体"/>
                <w:color w:val="000000" w:themeColor="text1"/>
                <w:kern w:val="0"/>
                <w:sz w:val="24"/>
                <w:szCs w:val="24"/>
              </w:rPr>
              <w:t>．营商环境指数</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全省前列</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全省前列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3256" w:type="pct"/>
            <w:tcBorders>
              <w:tl2br w:val="nil"/>
              <w:tr2bl w:val="nil"/>
            </w:tcBorders>
            <w:shd w:val="clear" w:color="auto" w:fill="auto"/>
            <w:vAlign w:val="center"/>
          </w:tcPr>
          <w:p>
            <w:pPr>
              <w:widowControl/>
              <w:spacing w:line="320" w:lineRule="exact"/>
              <w:ind w:firstLine="480" w:firstLineChars="20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12</w:t>
            </w:r>
            <w:r>
              <w:rPr>
                <w:rFonts w:hint="eastAsia" w:ascii="仿宋_GB2312" w:hAnsi="宋体" w:eastAsia="仿宋_GB2312" w:cs="宋体"/>
                <w:color w:val="000000" w:themeColor="text1"/>
                <w:kern w:val="0"/>
                <w:sz w:val="24"/>
                <w:szCs w:val="24"/>
              </w:rPr>
              <w:t>．实际利用外资</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16</w:t>
            </w:r>
            <w:r>
              <w:rPr>
                <w:rFonts w:hint="eastAsia" w:ascii="仿宋_GB2312" w:hAnsi="宋体" w:eastAsia="仿宋_GB2312" w:cs="宋体"/>
                <w:color w:val="000000" w:themeColor="text1"/>
                <w:kern w:val="0"/>
                <w:sz w:val="24"/>
                <w:szCs w:val="24"/>
              </w:rPr>
              <w:t>亿美元</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16</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5</w:t>
            </w:r>
            <w:r>
              <w:rPr>
                <w:rFonts w:hint="eastAsia" w:ascii="仿宋_GB2312" w:hAnsi="宋体" w:eastAsia="仿宋_GB2312" w:cs="宋体"/>
                <w:color w:val="000000" w:themeColor="text1"/>
                <w:kern w:val="0"/>
                <w:sz w:val="24"/>
                <w:szCs w:val="24"/>
              </w:rPr>
              <w:t>亿美元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3256" w:type="pct"/>
            <w:tcBorders>
              <w:tl2br w:val="nil"/>
              <w:tr2bl w:val="nil"/>
            </w:tcBorders>
            <w:shd w:val="clear" w:color="auto" w:fill="auto"/>
            <w:vAlign w:val="center"/>
          </w:tcPr>
          <w:p>
            <w:pPr>
              <w:widowControl/>
              <w:spacing w:line="320" w:lineRule="exact"/>
              <w:ind w:firstLine="480" w:firstLineChars="20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13</w:t>
            </w:r>
            <w:r>
              <w:rPr>
                <w:rFonts w:hint="eastAsia" w:ascii="仿宋_GB2312" w:hAnsi="宋体" w:eastAsia="仿宋_GB2312" w:cs="宋体"/>
                <w:color w:val="000000" w:themeColor="text1"/>
                <w:kern w:val="0"/>
                <w:sz w:val="24"/>
                <w:szCs w:val="24"/>
              </w:rPr>
              <w:t>．进出口总额</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稳中提质</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144</w:t>
            </w:r>
            <w:r>
              <w:rPr>
                <w:rFonts w:hint="eastAsia" w:ascii="仿宋_GB2312" w:hAnsi="宋体" w:eastAsia="仿宋_GB2312" w:cs="宋体"/>
                <w:color w:val="000000" w:themeColor="text1"/>
                <w:kern w:val="0"/>
                <w:sz w:val="24"/>
                <w:szCs w:val="24"/>
              </w:rPr>
              <w:t>亿美元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3256" w:type="pct"/>
            <w:tcBorders>
              <w:tl2br w:val="nil"/>
              <w:tr2bl w:val="nil"/>
            </w:tcBorders>
            <w:shd w:val="clear" w:color="auto" w:fill="auto"/>
            <w:vAlign w:val="center"/>
          </w:tcPr>
          <w:p>
            <w:pPr>
              <w:widowControl/>
              <w:spacing w:line="320" w:lineRule="exact"/>
              <w:ind w:firstLine="480" w:firstLineChars="20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14</w:t>
            </w:r>
            <w:r>
              <w:rPr>
                <w:rFonts w:hint="eastAsia" w:ascii="仿宋_GB2312" w:hAnsi="宋体" w:eastAsia="仿宋_GB2312" w:cs="宋体"/>
                <w:color w:val="000000" w:themeColor="text1"/>
                <w:kern w:val="0"/>
                <w:sz w:val="24"/>
                <w:szCs w:val="24"/>
              </w:rPr>
              <w:t>．外经营业额</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8</w:t>
            </w:r>
            <w:r>
              <w:rPr>
                <w:rFonts w:hint="eastAsia" w:ascii="仿宋_GB2312" w:hAnsi="宋体" w:eastAsia="仿宋_GB2312" w:cs="宋体"/>
                <w:color w:val="000000" w:themeColor="text1"/>
                <w:kern w:val="0"/>
                <w:sz w:val="24"/>
                <w:szCs w:val="24"/>
              </w:rPr>
              <w:t>亿美元</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6</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9</w:t>
            </w:r>
            <w:r>
              <w:rPr>
                <w:rFonts w:hint="eastAsia" w:ascii="仿宋_GB2312" w:hAnsi="宋体" w:eastAsia="仿宋_GB2312" w:cs="宋体"/>
                <w:color w:val="000000" w:themeColor="text1"/>
                <w:kern w:val="0"/>
                <w:sz w:val="24"/>
                <w:szCs w:val="24"/>
              </w:rPr>
              <w:t>亿美元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3256" w:type="pct"/>
            <w:tcBorders>
              <w:tl2br w:val="nil"/>
              <w:tr2bl w:val="nil"/>
            </w:tcBorders>
            <w:shd w:val="clear" w:color="auto" w:fill="auto"/>
            <w:vAlign w:val="center"/>
          </w:tcPr>
          <w:p>
            <w:pPr>
              <w:widowControl/>
              <w:spacing w:line="320" w:lineRule="exact"/>
              <w:ind w:firstLine="480" w:firstLineChars="20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15</w:t>
            </w:r>
            <w:r>
              <w:rPr>
                <w:rFonts w:hint="eastAsia" w:ascii="仿宋_GB2312" w:hAnsi="宋体" w:eastAsia="仿宋_GB2312" w:cs="宋体"/>
                <w:color w:val="000000" w:themeColor="text1"/>
                <w:kern w:val="0"/>
                <w:sz w:val="24"/>
                <w:szCs w:val="24"/>
              </w:rPr>
              <w:t>．重点开发园区“三比一提升”工作</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3256" w:type="pct"/>
            <w:tcBorders>
              <w:tl2br w:val="nil"/>
              <w:tr2bl w:val="nil"/>
            </w:tcBorders>
            <w:shd w:val="clear" w:color="auto" w:fill="auto"/>
            <w:vAlign w:val="center"/>
          </w:tcPr>
          <w:p>
            <w:pPr>
              <w:widowControl/>
              <w:spacing w:line="320" w:lineRule="exact"/>
              <w:ind w:firstLine="1200" w:firstLineChars="50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5</w:t>
            </w:r>
            <w:r>
              <w:rPr>
                <w:rFonts w:hint="eastAsia" w:ascii="仿宋_GB2312" w:hAnsi="宋体" w:eastAsia="仿宋_GB2312" w:cs="宋体"/>
                <w:color w:val="000000" w:themeColor="text1"/>
                <w:kern w:val="0"/>
                <w:sz w:val="24"/>
                <w:szCs w:val="24"/>
              </w:rPr>
              <w:t>亿元以上内资项目</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110</w:t>
            </w:r>
            <w:r>
              <w:rPr>
                <w:rFonts w:hint="eastAsia" w:ascii="仿宋_GB2312" w:hAnsi="宋体" w:eastAsia="仿宋_GB2312" w:cs="宋体"/>
                <w:color w:val="000000" w:themeColor="text1"/>
                <w:kern w:val="0"/>
                <w:sz w:val="24"/>
                <w:szCs w:val="24"/>
              </w:rPr>
              <w:t>个</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114</w:t>
            </w:r>
            <w:r>
              <w:rPr>
                <w:rFonts w:hint="eastAsia" w:ascii="仿宋_GB2312" w:hAnsi="宋体" w:eastAsia="仿宋_GB2312" w:cs="宋体"/>
                <w:color w:val="000000" w:themeColor="text1"/>
                <w:kern w:val="0"/>
                <w:sz w:val="24"/>
                <w:szCs w:val="24"/>
              </w:rPr>
              <w:t>个</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3256" w:type="pct"/>
            <w:tcBorders>
              <w:tl2br w:val="nil"/>
              <w:tr2bl w:val="nil"/>
            </w:tcBorders>
            <w:shd w:val="clear" w:color="auto" w:fill="auto"/>
            <w:vAlign w:val="center"/>
          </w:tcPr>
          <w:p>
            <w:pPr>
              <w:widowControl/>
              <w:spacing w:line="320" w:lineRule="exact"/>
              <w:ind w:firstLine="1200" w:firstLineChars="50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3000</w:t>
            </w:r>
            <w:r>
              <w:rPr>
                <w:rFonts w:hint="eastAsia" w:ascii="仿宋_GB2312" w:hAnsi="宋体" w:eastAsia="仿宋_GB2312" w:cs="宋体"/>
                <w:color w:val="000000" w:themeColor="text1"/>
                <w:kern w:val="0"/>
                <w:sz w:val="24"/>
                <w:szCs w:val="24"/>
              </w:rPr>
              <w:t>万美元以上外资项目</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40</w:t>
            </w:r>
            <w:r>
              <w:rPr>
                <w:rFonts w:hint="eastAsia" w:ascii="仿宋_GB2312" w:hAnsi="宋体" w:eastAsia="仿宋_GB2312" w:cs="宋体"/>
                <w:color w:val="000000" w:themeColor="text1"/>
                <w:kern w:val="0"/>
                <w:sz w:val="24"/>
                <w:szCs w:val="24"/>
              </w:rPr>
              <w:t>个</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27</w:t>
            </w:r>
            <w:r>
              <w:rPr>
                <w:rFonts w:hint="eastAsia" w:ascii="仿宋_GB2312" w:hAnsi="宋体" w:eastAsia="仿宋_GB2312" w:cs="宋体"/>
                <w:color w:val="000000" w:themeColor="text1"/>
                <w:kern w:val="0"/>
                <w:sz w:val="24"/>
                <w:szCs w:val="24"/>
              </w:rPr>
              <w:t>个</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3256" w:type="pct"/>
            <w:tcBorders>
              <w:tl2br w:val="nil"/>
              <w:tr2bl w:val="nil"/>
            </w:tcBorders>
            <w:shd w:val="clear" w:color="auto" w:fill="auto"/>
            <w:vAlign w:val="center"/>
          </w:tcPr>
          <w:p>
            <w:pPr>
              <w:widowControl/>
              <w:spacing w:line="320" w:lineRule="exact"/>
              <w:ind w:firstLine="1200" w:firstLineChars="500"/>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工业入库税收</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6</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5%</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0</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256" w:type="pct"/>
            <w:tcBorders>
              <w:tl2br w:val="nil"/>
              <w:tr2bl w:val="nil"/>
            </w:tcBorders>
            <w:shd w:val="clear" w:color="auto" w:fill="auto"/>
            <w:vAlign w:val="center"/>
          </w:tcPr>
          <w:p>
            <w:pPr>
              <w:widowControl/>
              <w:spacing w:line="320" w:lineRule="exac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三、城乡建设高质量</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256" w:type="pct"/>
            <w:tcBorders>
              <w:tl2br w:val="nil"/>
              <w:tr2bl w:val="nil"/>
            </w:tcBorders>
            <w:shd w:val="clear" w:color="auto" w:fill="auto"/>
            <w:vAlign w:val="center"/>
          </w:tcPr>
          <w:p>
            <w:pPr>
              <w:widowControl/>
              <w:spacing w:line="320" w:lineRule="exact"/>
              <w:ind w:firstLine="480" w:firstLineChars="20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16</w:t>
            </w:r>
            <w:r>
              <w:rPr>
                <w:rFonts w:hint="eastAsia" w:ascii="仿宋_GB2312" w:hAnsi="宋体" w:eastAsia="仿宋_GB2312" w:cs="宋体"/>
                <w:color w:val="000000" w:themeColor="text1"/>
                <w:kern w:val="0"/>
                <w:sz w:val="24"/>
                <w:szCs w:val="24"/>
              </w:rPr>
              <w:t>．城市人均公园绿地面积</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14</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32</w:t>
            </w:r>
            <w:r>
              <w:rPr>
                <w:rFonts w:hint="eastAsia" w:ascii="仿宋_GB2312" w:hAnsi="宋体" w:eastAsia="仿宋_GB2312" w:cs="宋体"/>
                <w:color w:val="000000" w:themeColor="text1"/>
                <w:kern w:val="0"/>
                <w:sz w:val="24"/>
                <w:szCs w:val="24"/>
              </w:rPr>
              <w:t>平方米</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14</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8</w:t>
            </w:r>
            <w:r>
              <w:rPr>
                <w:rFonts w:hint="eastAsia" w:ascii="仿宋_GB2312" w:hAnsi="宋体" w:eastAsia="仿宋_GB2312" w:cs="宋体"/>
                <w:color w:val="000000" w:themeColor="text1"/>
                <w:kern w:val="0"/>
                <w:sz w:val="24"/>
                <w:szCs w:val="24"/>
              </w:rPr>
              <w:t>平方米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256" w:type="pct"/>
            <w:tcBorders>
              <w:tl2br w:val="nil"/>
              <w:tr2bl w:val="nil"/>
            </w:tcBorders>
            <w:shd w:val="clear" w:color="auto" w:fill="auto"/>
            <w:vAlign w:val="center"/>
          </w:tcPr>
          <w:p>
            <w:pPr>
              <w:widowControl/>
              <w:spacing w:line="320" w:lineRule="exact"/>
              <w:ind w:firstLine="480" w:firstLineChars="20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17</w:t>
            </w:r>
            <w:r>
              <w:rPr>
                <w:rFonts w:hint="eastAsia" w:ascii="仿宋_GB2312" w:hAnsi="宋体" w:eastAsia="仿宋_GB2312" w:cs="宋体"/>
                <w:color w:val="000000" w:themeColor="text1"/>
                <w:kern w:val="0"/>
                <w:sz w:val="24"/>
                <w:szCs w:val="24"/>
              </w:rPr>
              <w:t>．城市万人公共交通车辆拥有量</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16</w:t>
            </w:r>
            <w:r>
              <w:rPr>
                <w:rFonts w:hint="eastAsia" w:ascii="仿宋_GB2312" w:hAnsi="宋体" w:eastAsia="仿宋_GB2312" w:cs="宋体"/>
                <w:color w:val="000000" w:themeColor="text1"/>
                <w:kern w:val="0"/>
                <w:sz w:val="24"/>
                <w:szCs w:val="24"/>
              </w:rPr>
              <w:t>标台</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18</w:t>
            </w:r>
            <w:r>
              <w:rPr>
                <w:rFonts w:hint="eastAsia" w:ascii="仿宋_GB2312" w:hAnsi="宋体" w:eastAsia="仿宋_GB2312" w:cs="宋体"/>
                <w:color w:val="000000" w:themeColor="text1"/>
                <w:kern w:val="0"/>
                <w:sz w:val="24"/>
                <w:szCs w:val="24"/>
              </w:rPr>
              <w:t>标台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256" w:type="pct"/>
            <w:tcBorders>
              <w:tl2br w:val="nil"/>
              <w:tr2bl w:val="nil"/>
            </w:tcBorders>
            <w:shd w:val="clear" w:color="auto" w:fill="auto"/>
            <w:vAlign w:val="center"/>
          </w:tcPr>
          <w:p>
            <w:pPr>
              <w:widowControl/>
              <w:spacing w:line="320" w:lineRule="exact"/>
              <w:ind w:firstLine="480" w:firstLineChars="20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18</w:t>
            </w:r>
            <w:r>
              <w:rPr>
                <w:rFonts w:hint="eastAsia" w:ascii="仿宋_GB2312" w:hAnsi="宋体" w:eastAsia="仿宋_GB2312" w:cs="宋体"/>
                <w:color w:val="000000" w:themeColor="text1"/>
                <w:kern w:val="0"/>
                <w:sz w:val="24"/>
                <w:szCs w:val="24"/>
              </w:rPr>
              <w:t>．市区建成区黑臭水体整治累计完成率</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100%</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256" w:type="pct"/>
            <w:tcBorders>
              <w:tl2br w:val="nil"/>
              <w:tr2bl w:val="nil"/>
            </w:tcBorders>
            <w:shd w:val="clear" w:color="auto" w:fill="auto"/>
            <w:vAlign w:val="center"/>
          </w:tcPr>
          <w:p>
            <w:pPr>
              <w:widowControl/>
              <w:spacing w:line="320" w:lineRule="exact"/>
              <w:ind w:firstLine="480" w:firstLineChars="20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19</w:t>
            </w:r>
            <w:r>
              <w:rPr>
                <w:rFonts w:hint="eastAsia" w:ascii="仿宋_GB2312" w:hAnsi="宋体" w:eastAsia="仿宋_GB2312" w:cs="宋体"/>
                <w:color w:val="000000" w:themeColor="text1"/>
                <w:kern w:val="0"/>
                <w:sz w:val="24"/>
                <w:szCs w:val="24"/>
              </w:rPr>
              <w:t>．棚户区改造年度目标任务完成率</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100%</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256" w:type="pct"/>
            <w:tcBorders>
              <w:tl2br w:val="nil"/>
              <w:tr2bl w:val="nil"/>
            </w:tcBorders>
            <w:shd w:val="clear" w:color="auto" w:fill="auto"/>
            <w:vAlign w:val="center"/>
          </w:tcPr>
          <w:p>
            <w:pPr>
              <w:widowControl/>
              <w:spacing w:line="320" w:lineRule="exact"/>
              <w:ind w:firstLine="480" w:firstLineChars="20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20</w:t>
            </w:r>
            <w:r>
              <w:rPr>
                <w:rFonts w:hint="eastAsia" w:ascii="仿宋_GB2312" w:hAnsi="宋体" w:eastAsia="仿宋_GB2312" w:cs="宋体"/>
                <w:color w:val="000000" w:themeColor="text1"/>
                <w:kern w:val="0"/>
                <w:sz w:val="24"/>
                <w:szCs w:val="24"/>
              </w:rPr>
              <w:t>．农村厕所建设任务完成率</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100%</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256" w:type="pct"/>
            <w:tcBorders>
              <w:tl2br w:val="nil"/>
              <w:tr2bl w:val="nil"/>
            </w:tcBorders>
            <w:shd w:val="clear" w:color="auto" w:fill="auto"/>
            <w:vAlign w:val="center"/>
          </w:tcPr>
          <w:p>
            <w:pPr>
              <w:widowControl/>
              <w:spacing w:line="320" w:lineRule="exact"/>
              <w:ind w:firstLine="480" w:firstLineChars="20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21</w:t>
            </w:r>
            <w:r>
              <w:rPr>
                <w:rFonts w:hint="eastAsia" w:ascii="仿宋_GB2312" w:hAnsi="宋体" w:eastAsia="仿宋_GB2312" w:cs="宋体"/>
                <w:color w:val="000000" w:themeColor="text1"/>
                <w:kern w:val="0"/>
                <w:sz w:val="24"/>
                <w:szCs w:val="24"/>
              </w:rPr>
              <w:t>．垃圾分类集中处理率</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78%</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80%</w:t>
            </w:r>
            <w:r>
              <w:rPr>
                <w:rFonts w:hint="eastAsia" w:ascii="仿宋_GB2312" w:hAnsi="宋体" w:eastAsia="仿宋_GB2312" w:cs="宋体"/>
                <w:color w:val="000000" w:themeColor="text1"/>
                <w:kern w:val="0"/>
                <w:sz w:val="24"/>
                <w:szCs w:val="24"/>
              </w:rPr>
              <w:t>左右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256" w:type="pct"/>
            <w:tcBorders>
              <w:tl2br w:val="nil"/>
              <w:tr2bl w:val="nil"/>
            </w:tcBorders>
            <w:shd w:val="clear" w:color="auto" w:fill="auto"/>
            <w:vAlign w:val="center"/>
          </w:tcPr>
          <w:p>
            <w:pPr>
              <w:widowControl/>
              <w:spacing w:line="320" w:lineRule="exac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四、文化建设高质量</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256" w:type="pct"/>
            <w:tcBorders>
              <w:tl2br w:val="nil"/>
              <w:tr2bl w:val="nil"/>
            </w:tcBorders>
            <w:shd w:val="clear" w:color="auto" w:fill="auto"/>
            <w:vAlign w:val="center"/>
          </w:tcPr>
          <w:p>
            <w:pPr>
              <w:widowControl/>
              <w:spacing w:line="320" w:lineRule="exact"/>
              <w:ind w:firstLine="480" w:firstLineChars="20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22</w:t>
            </w:r>
            <w:r>
              <w:rPr>
                <w:rFonts w:hint="eastAsia" w:ascii="仿宋_GB2312" w:hAnsi="宋体" w:eastAsia="仿宋_GB2312" w:cs="宋体"/>
                <w:color w:val="000000" w:themeColor="text1"/>
                <w:kern w:val="0"/>
                <w:sz w:val="24"/>
                <w:szCs w:val="24"/>
              </w:rPr>
              <w:t>．文化及相关产业增加值占</w:t>
            </w:r>
            <w:r>
              <w:rPr>
                <w:rFonts w:hint="eastAsia" w:ascii="Times New Roman" w:hAnsi="Times New Roman" w:eastAsia="仿宋_GB2312" w:cs="宋体"/>
                <w:color w:val="000000" w:themeColor="text1"/>
                <w:kern w:val="0"/>
                <w:sz w:val="24"/>
                <w:szCs w:val="24"/>
              </w:rPr>
              <w:t>GDP</w:t>
            </w:r>
            <w:r>
              <w:rPr>
                <w:rFonts w:hint="eastAsia" w:ascii="仿宋_GB2312" w:hAnsi="宋体" w:eastAsia="仿宋_GB2312" w:cs="宋体"/>
                <w:color w:val="000000" w:themeColor="text1"/>
                <w:kern w:val="0"/>
                <w:sz w:val="24"/>
                <w:szCs w:val="24"/>
              </w:rPr>
              <w:t>比重</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4</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5%</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4%</w:t>
            </w:r>
            <w:r>
              <w:rPr>
                <w:rFonts w:ascii="仿宋_GB2312" w:hAnsi="宋体" w:eastAsia="仿宋_GB2312" w:cs="宋体"/>
                <w:color w:val="000000" w:themeColor="text1"/>
                <w:kern w:val="0"/>
                <w:sz w:val="24"/>
                <w:szCs w:val="24"/>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256" w:type="pct"/>
            <w:tcBorders>
              <w:tl2br w:val="nil"/>
              <w:tr2bl w:val="nil"/>
            </w:tcBorders>
            <w:shd w:val="clear" w:color="auto" w:fill="auto"/>
            <w:vAlign w:val="center"/>
          </w:tcPr>
          <w:p>
            <w:pPr>
              <w:widowControl/>
              <w:spacing w:line="320" w:lineRule="exact"/>
              <w:ind w:firstLine="480" w:firstLineChars="20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23</w:t>
            </w:r>
            <w:r>
              <w:rPr>
                <w:rFonts w:hint="eastAsia" w:ascii="仿宋_GB2312" w:hAnsi="宋体" w:eastAsia="仿宋_GB2312" w:cs="宋体"/>
                <w:color w:val="000000" w:themeColor="text1"/>
                <w:kern w:val="0"/>
                <w:sz w:val="24"/>
                <w:szCs w:val="24"/>
              </w:rPr>
              <w:t>．人均拥有公共文化体育设施面积</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2</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8</w:t>
            </w:r>
            <w:r>
              <w:rPr>
                <w:rFonts w:hint="eastAsia" w:ascii="仿宋_GB2312" w:hAnsi="宋体" w:eastAsia="仿宋_GB2312" w:cs="宋体"/>
                <w:color w:val="000000" w:themeColor="text1"/>
                <w:kern w:val="0"/>
                <w:sz w:val="24"/>
                <w:szCs w:val="24"/>
              </w:rPr>
              <w:t>平方米</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3</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1</w:t>
            </w:r>
            <w:r>
              <w:rPr>
                <w:rFonts w:hint="eastAsia" w:ascii="仿宋_GB2312" w:hAnsi="宋体" w:eastAsia="仿宋_GB2312" w:cs="宋体"/>
                <w:color w:val="000000" w:themeColor="text1"/>
                <w:kern w:val="0"/>
                <w:sz w:val="24"/>
                <w:szCs w:val="24"/>
              </w:rPr>
              <w:t>平方米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256" w:type="pct"/>
            <w:tcBorders>
              <w:tl2br w:val="nil"/>
              <w:tr2bl w:val="nil"/>
            </w:tcBorders>
            <w:shd w:val="clear" w:color="auto" w:fill="auto"/>
            <w:vAlign w:val="center"/>
          </w:tcPr>
          <w:p>
            <w:pPr>
              <w:widowControl/>
              <w:spacing w:line="320" w:lineRule="exact"/>
              <w:ind w:firstLine="480" w:firstLineChars="20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24</w:t>
            </w:r>
            <w:r>
              <w:rPr>
                <w:rFonts w:hint="eastAsia" w:ascii="仿宋_GB2312" w:hAnsi="宋体" w:eastAsia="仿宋_GB2312" w:cs="宋体"/>
                <w:color w:val="000000" w:themeColor="text1"/>
                <w:kern w:val="0"/>
                <w:sz w:val="24"/>
                <w:szCs w:val="24"/>
              </w:rPr>
              <w:t>．居民综合阅读率</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90%</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90%</w:t>
            </w:r>
            <w:r>
              <w:rPr>
                <w:rFonts w:hint="eastAsia" w:ascii="仿宋_GB2312" w:hAnsi="宋体" w:eastAsia="仿宋_GB2312" w:cs="宋体"/>
                <w:color w:val="000000" w:themeColor="text1"/>
                <w:kern w:val="0"/>
                <w:sz w:val="24"/>
                <w:szCs w:val="24"/>
              </w:rPr>
              <w:t>左右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256" w:type="pct"/>
            <w:tcBorders>
              <w:tl2br w:val="nil"/>
              <w:tr2bl w:val="nil"/>
            </w:tcBorders>
            <w:shd w:val="clear" w:color="auto" w:fill="auto"/>
            <w:vAlign w:val="center"/>
          </w:tcPr>
          <w:p>
            <w:pPr>
              <w:widowControl/>
              <w:spacing w:line="320" w:lineRule="exac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五、生态环境高质量</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256" w:type="pct"/>
            <w:tcBorders>
              <w:tl2br w:val="nil"/>
              <w:tr2bl w:val="nil"/>
            </w:tcBorders>
            <w:shd w:val="clear" w:color="auto" w:fill="auto"/>
            <w:vAlign w:val="center"/>
          </w:tcPr>
          <w:p>
            <w:pPr>
              <w:widowControl/>
              <w:spacing w:line="320" w:lineRule="exact"/>
              <w:ind w:firstLine="48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25</w:t>
            </w:r>
            <w:r>
              <w:rPr>
                <w:rFonts w:hint="eastAsia" w:ascii="仿宋_GB2312" w:hAnsi="宋体" w:eastAsia="仿宋_GB2312" w:cs="宋体"/>
                <w:color w:val="000000" w:themeColor="text1"/>
                <w:kern w:val="0"/>
                <w:sz w:val="24"/>
                <w:szCs w:val="24"/>
              </w:rPr>
              <w:t>．节能减排</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256" w:type="pct"/>
            <w:tcBorders>
              <w:tl2br w:val="nil"/>
              <w:tr2bl w:val="nil"/>
            </w:tcBorders>
            <w:shd w:val="clear" w:color="auto" w:fill="auto"/>
            <w:vAlign w:val="center"/>
          </w:tcPr>
          <w:p>
            <w:pPr>
              <w:widowControl/>
              <w:spacing w:line="320" w:lineRule="exact"/>
              <w:ind w:firstLine="1200" w:firstLineChars="500"/>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单位地区生产总值能耗降低</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完成省下目标</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2</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5%</w:t>
            </w:r>
            <w:r>
              <w:rPr>
                <w:rFonts w:hint="eastAsia" w:ascii="仿宋_GB2312" w:hAnsi="宋体" w:eastAsia="仿宋_GB2312" w:cs="宋体"/>
                <w:color w:val="000000" w:themeColor="text1"/>
                <w:kern w:val="0"/>
                <w:sz w:val="24"/>
                <w:szCs w:val="24"/>
              </w:rPr>
              <w:t>左右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256" w:type="pct"/>
            <w:tcBorders>
              <w:tl2br w:val="nil"/>
              <w:tr2bl w:val="nil"/>
            </w:tcBorders>
            <w:shd w:val="clear" w:color="auto" w:fill="auto"/>
            <w:vAlign w:val="center"/>
          </w:tcPr>
          <w:p>
            <w:pPr>
              <w:widowControl/>
              <w:spacing w:line="320" w:lineRule="exact"/>
              <w:ind w:firstLine="1200" w:firstLineChars="500"/>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单位地区生产总值二氧化碳排放量降低</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完成省下目标</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3</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5%</w:t>
            </w:r>
            <w:r>
              <w:rPr>
                <w:rFonts w:hint="eastAsia" w:ascii="仿宋_GB2312" w:hAnsi="宋体" w:eastAsia="仿宋_GB2312" w:cs="宋体"/>
                <w:color w:val="000000" w:themeColor="text1"/>
                <w:kern w:val="0"/>
                <w:sz w:val="24"/>
                <w:szCs w:val="24"/>
              </w:rPr>
              <w:t>左右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256" w:type="pct"/>
            <w:tcBorders>
              <w:tl2br w:val="nil"/>
              <w:tr2bl w:val="nil"/>
            </w:tcBorders>
            <w:shd w:val="clear" w:color="auto" w:fill="auto"/>
            <w:vAlign w:val="center"/>
          </w:tcPr>
          <w:p>
            <w:pPr>
              <w:widowControl/>
              <w:spacing w:line="320" w:lineRule="exact"/>
              <w:ind w:firstLine="1200" w:firstLineChars="500"/>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化学需氧量排放量</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完成省下目标</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76000</w:t>
            </w:r>
            <w:r>
              <w:rPr>
                <w:rFonts w:hint="eastAsia" w:ascii="仿宋_GB2312" w:hAnsi="宋体" w:eastAsia="仿宋_GB2312" w:cs="宋体"/>
                <w:color w:val="000000" w:themeColor="text1"/>
                <w:kern w:val="0"/>
                <w:sz w:val="24"/>
                <w:szCs w:val="24"/>
              </w:rPr>
              <w:t>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256" w:type="pct"/>
            <w:tcBorders>
              <w:tl2br w:val="nil"/>
              <w:tr2bl w:val="nil"/>
            </w:tcBorders>
            <w:shd w:val="clear" w:color="auto" w:fill="auto"/>
            <w:vAlign w:val="center"/>
          </w:tcPr>
          <w:p>
            <w:pPr>
              <w:widowControl/>
              <w:spacing w:line="320" w:lineRule="exact"/>
              <w:ind w:firstLine="1200" w:firstLineChars="500"/>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二氧化硫排放量</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完成省下目标</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37828</w:t>
            </w:r>
            <w:r>
              <w:rPr>
                <w:rFonts w:hint="eastAsia" w:ascii="仿宋_GB2312" w:hAnsi="宋体" w:eastAsia="仿宋_GB2312" w:cs="宋体"/>
                <w:color w:val="000000" w:themeColor="text1"/>
                <w:kern w:val="0"/>
                <w:sz w:val="24"/>
                <w:szCs w:val="24"/>
              </w:rPr>
              <w:t>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256" w:type="pct"/>
            <w:tcBorders>
              <w:tl2br w:val="nil"/>
              <w:tr2bl w:val="nil"/>
            </w:tcBorders>
            <w:shd w:val="clear" w:color="auto" w:fill="auto"/>
            <w:vAlign w:val="center"/>
          </w:tcPr>
          <w:p>
            <w:pPr>
              <w:widowControl/>
              <w:spacing w:line="320" w:lineRule="exact"/>
              <w:ind w:firstLine="1200" w:firstLineChars="500"/>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氨氮排放量</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完成省下目标</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9500</w:t>
            </w:r>
            <w:r>
              <w:rPr>
                <w:rFonts w:hint="eastAsia" w:ascii="仿宋_GB2312" w:hAnsi="宋体" w:eastAsia="仿宋_GB2312" w:cs="宋体"/>
                <w:color w:val="000000" w:themeColor="text1"/>
                <w:kern w:val="0"/>
                <w:sz w:val="24"/>
                <w:szCs w:val="24"/>
              </w:rPr>
              <w:t>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256" w:type="pct"/>
            <w:tcBorders>
              <w:tl2br w:val="nil"/>
              <w:tr2bl w:val="nil"/>
            </w:tcBorders>
            <w:shd w:val="clear" w:color="auto" w:fill="auto"/>
            <w:vAlign w:val="center"/>
          </w:tcPr>
          <w:p>
            <w:pPr>
              <w:widowControl/>
              <w:spacing w:line="320" w:lineRule="exact"/>
              <w:ind w:firstLine="1200" w:firstLineChars="500"/>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氮氧化物排放量</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完成省下目标</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36473</w:t>
            </w:r>
            <w:r>
              <w:rPr>
                <w:rFonts w:hint="eastAsia" w:ascii="仿宋_GB2312" w:hAnsi="宋体" w:eastAsia="仿宋_GB2312" w:cs="宋体"/>
                <w:color w:val="000000" w:themeColor="text1"/>
                <w:kern w:val="0"/>
                <w:sz w:val="24"/>
                <w:szCs w:val="24"/>
              </w:rPr>
              <w:t>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256" w:type="pct"/>
            <w:tcBorders>
              <w:tl2br w:val="nil"/>
              <w:tr2bl w:val="nil"/>
            </w:tcBorders>
            <w:shd w:val="clear" w:color="auto" w:fill="auto"/>
            <w:vAlign w:val="center"/>
          </w:tcPr>
          <w:p>
            <w:pPr>
              <w:widowControl/>
              <w:spacing w:line="320" w:lineRule="exact"/>
              <w:ind w:firstLine="48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26</w:t>
            </w:r>
            <w:r>
              <w:rPr>
                <w:rFonts w:hint="eastAsia" w:ascii="仿宋_GB2312" w:hAnsi="宋体" w:eastAsia="仿宋_GB2312" w:cs="宋体"/>
                <w:color w:val="000000" w:themeColor="text1"/>
                <w:kern w:val="0"/>
                <w:sz w:val="24"/>
                <w:szCs w:val="24"/>
              </w:rPr>
              <w:t>．空气质量</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256" w:type="pct"/>
            <w:tcBorders>
              <w:tl2br w:val="nil"/>
              <w:tr2bl w:val="nil"/>
            </w:tcBorders>
            <w:shd w:val="clear" w:color="auto" w:fill="auto"/>
            <w:vAlign w:val="center"/>
          </w:tcPr>
          <w:p>
            <w:pPr>
              <w:widowControl/>
              <w:spacing w:line="320" w:lineRule="exact"/>
              <w:ind w:firstLine="1200" w:firstLineChars="50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PM</w:t>
            </w:r>
            <w:r>
              <w:rPr>
                <w:rFonts w:hint="eastAsia" w:ascii="Times New Roman" w:hAnsi="Times New Roman" w:eastAsia="仿宋_GB2312" w:cs="宋体"/>
                <w:color w:val="000000" w:themeColor="text1"/>
                <w:kern w:val="0"/>
                <w:sz w:val="24"/>
                <w:szCs w:val="24"/>
                <w:vertAlign w:val="subscript"/>
              </w:rPr>
              <w:t>2</w:t>
            </w:r>
            <w:r>
              <w:rPr>
                <w:rFonts w:hint="eastAsia" w:ascii="仿宋_GB2312" w:hAnsi="宋体" w:eastAsia="仿宋_GB2312" w:cs="宋体"/>
                <w:color w:val="000000" w:themeColor="text1"/>
                <w:kern w:val="0"/>
                <w:sz w:val="24"/>
                <w:szCs w:val="24"/>
                <w:vertAlign w:val="subscript"/>
              </w:rPr>
              <w:t>.</w:t>
            </w:r>
            <w:r>
              <w:rPr>
                <w:rFonts w:hint="eastAsia" w:ascii="Times New Roman" w:hAnsi="Times New Roman" w:eastAsia="仿宋_GB2312" w:cs="宋体"/>
                <w:color w:val="000000" w:themeColor="text1"/>
                <w:kern w:val="0"/>
                <w:sz w:val="24"/>
                <w:szCs w:val="24"/>
                <w:vertAlign w:val="subscript"/>
              </w:rPr>
              <w:t>5</w:t>
            </w:r>
            <w:r>
              <w:rPr>
                <w:rFonts w:hint="eastAsia" w:ascii="仿宋_GB2312" w:hAnsi="宋体" w:eastAsia="仿宋_GB2312" w:cs="宋体"/>
                <w:color w:val="000000" w:themeColor="text1"/>
                <w:kern w:val="0"/>
                <w:sz w:val="24"/>
                <w:szCs w:val="24"/>
              </w:rPr>
              <w:t>浓度下降</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完成省下目标</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15</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256" w:type="pct"/>
            <w:tcBorders>
              <w:tl2br w:val="nil"/>
              <w:tr2bl w:val="nil"/>
            </w:tcBorders>
            <w:shd w:val="clear" w:color="auto" w:fill="auto"/>
            <w:vAlign w:val="center"/>
          </w:tcPr>
          <w:p>
            <w:pPr>
              <w:widowControl/>
              <w:spacing w:line="320" w:lineRule="exact"/>
              <w:ind w:firstLine="1200" w:firstLineChars="500"/>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空气质量优良天数比率</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完成省下目标</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83</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256" w:type="pct"/>
            <w:tcBorders>
              <w:tl2br w:val="nil"/>
              <w:tr2bl w:val="nil"/>
            </w:tcBorders>
            <w:shd w:val="clear" w:color="auto" w:fill="auto"/>
            <w:vAlign w:val="center"/>
          </w:tcPr>
          <w:p>
            <w:pPr>
              <w:widowControl/>
              <w:spacing w:line="320" w:lineRule="exact"/>
              <w:ind w:firstLine="48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27</w:t>
            </w:r>
            <w:r>
              <w:rPr>
                <w:rFonts w:hint="eastAsia" w:ascii="仿宋_GB2312" w:hAnsi="宋体" w:eastAsia="仿宋_GB2312" w:cs="宋体"/>
                <w:color w:val="000000" w:themeColor="text1"/>
                <w:kern w:val="0"/>
                <w:sz w:val="24"/>
                <w:szCs w:val="24"/>
              </w:rPr>
              <w:t>．地表水国考省考断面优于Ⅲ类水质比例</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完成省下目标</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256" w:type="pct"/>
            <w:tcBorders>
              <w:tl2br w:val="nil"/>
              <w:tr2bl w:val="nil"/>
            </w:tcBorders>
            <w:shd w:val="clear" w:color="auto" w:fill="auto"/>
            <w:vAlign w:val="center"/>
          </w:tcPr>
          <w:p>
            <w:pPr>
              <w:widowControl/>
              <w:spacing w:line="320" w:lineRule="exact"/>
              <w:ind w:firstLine="480" w:firstLineChars="20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28</w:t>
            </w:r>
            <w:r>
              <w:rPr>
                <w:rFonts w:hint="eastAsia" w:ascii="仿宋_GB2312" w:hAnsi="宋体" w:eastAsia="仿宋_GB2312" w:cs="宋体"/>
                <w:color w:val="000000" w:themeColor="text1"/>
                <w:kern w:val="0"/>
                <w:sz w:val="24"/>
                <w:szCs w:val="24"/>
              </w:rPr>
              <w:t>．单位</w:t>
            </w:r>
            <w:r>
              <w:rPr>
                <w:rFonts w:hint="eastAsia" w:ascii="Times New Roman" w:hAnsi="Times New Roman" w:eastAsia="仿宋_GB2312" w:cs="宋体"/>
                <w:color w:val="000000" w:themeColor="text1"/>
                <w:kern w:val="0"/>
                <w:sz w:val="24"/>
                <w:szCs w:val="24"/>
              </w:rPr>
              <w:t>GDP</w:t>
            </w:r>
            <w:r>
              <w:rPr>
                <w:rFonts w:hint="eastAsia" w:ascii="仿宋_GB2312" w:hAnsi="宋体" w:eastAsia="仿宋_GB2312" w:cs="宋体"/>
                <w:color w:val="000000" w:themeColor="text1"/>
                <w:kern w:val="0"/>
                <w:sz w:val="24"/>
                <w:szCs w:val="24"/>
              </w:rPr>
              <w:t>建设用地占用下降</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5%</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5%</w:t>
            </w:r>
            <w:r>
              <w:rPr>
                <w:rFonts w:hint="eastAsia" w:ascii="仿宋_GB2312" w:hAnsi="宋体" w:eastAsia="仿宋_GB2312" w:cs="宋体"/>
                <w:color w:val="000000" w:themeColor="text1"/>
                <w:kern w:val="0"/>
                <w:sz w:val="24"/>
                <w:szCs w:val="24"/>
              </w:rPr>
              <w:t>左右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256" w:type="pct"/>
            <w:tcBorders>
              <w:tl2br w:val="nil"/>
              <w:tr2bl w:val="nil"/>
            </w:tcBorders>
            <w:shd w:val="clear" w:color="auto" w:fill="auto"/>
            <w:vAlign w:val="center"/>
          </w:tcPr>
          <w:p>
            <w:pPr>
              <w:widowControl/>
              <w:spacing w:line="320" w:lineRule="exac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六、人民生活高质量</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256" w:type="pct"/>
            <w:tcBorders>
              <w:tl2br w:val="nil"/>
              <w:tr2bl w:val="nil"/>
            </w:tcBorders>
            <w:shd w:val="clear" w:color="auto" w:fill="auto"/>
            <w:vAlign w:val="center"/>
          </w:tcPr>
          <w:p>
            <w:pPr>
              <w:widowControl/>
              <w:spacing w:line="320" w:lineRule="exact"/>
              <w:ind w:firstLine="480" w:firstLineChars="20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29</w:t>
            </w:r>
            <w:r>
              <w:rPr>
                <w:rFonts w:hint="eastAsia" w:ascii="仿宋_GB2312" w:hAnsi="宋体" w:eastAsia="仿宋_GB2312" w:cs="宋体"/>
                <w:color w:val="000000" w:themeColor="text1"/>
                <w:kern w:val="0"/>
                <w:sz w:val="24"/>
                <w:szCs w:val="24"/>
              </w:rPr>
              <w:t>．居民收入</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256" w:type="pct"/>
            <w:tcBorders>
              <w:tl2br w:val="nil"/>
              <w:tr2bl w:val="nil"/>
            </w:tcBorders>
            <w:shd w:val="clear" w:color="auto" w:fill="auto"/>
            <w:vAlign w:val="center"/>
          </w:tcPr>
          <w:p>
            <w:pPr>
              <w:widowControl/>
              <w:spacing w:line="320" w:lineRule="exact"/>
              <w:ind w:firstLine="1200" w:firstLineChars="500"/>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居民人均可支配收入</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与经济同步</w:t>
            </w:r>
          </w:p>
        </w:tc>
        <w:tc>
          <w:tcPr>
            <w:tcW w:w="764" w:type="pct"/>
            <w:tcBorders>
              <w:tl2br w:val="nil"/>
              <w:tr2bl w:val="nil"/>
            </w:tcBorders>
            <w:shd w:val="clear" w:color="auto" w:fill="auto"/>
            <w:vAlign w:val="center"/>
          </w:tcPr>
          <w:p>
            <w:pPr>
              <w:widowControl/>
              <w:spacing w:line="320" w:lineRule="exact"/>
              <w:jc w:val="center"/>
              <w:rPr>
                <w:rFonts w:hint="default" w:ascii="仿宋_GB2312" w:hAnsi="宋体" w:eastAsia="仿宋_GB2312" w:cs="宋体"/>
                <w:color w:val="000000" w:themeColor="text1"/>
                <w:kern w:val="0"/>
                <w:sz w:val="24"/>
                <w:szCs w:val="24"/>
                <w:lang w:val="en-US" w:eastAsia="zh-CN"/>
              </w:rPr>
            </w:pPr>
            <w:r>
              <w:rPr>
                <w:rFonts w:hint="eastAsia" w:ascii="仿宋_GB2312" w:hAnsi="宋体" w:eastAsia="仿宋_GB2312" w:cs="宋体"/>
                <w:color w:val="000000" w:themeColor="text1"/>
                <w:kern w:val="0"/>
                <w:sz w:val="24"/>
                <w:szCs w:val="24"/>
                <w:lang w:val="en-US" w:eastAsia="zh-CN"/>
              </w:rPr>
              <w:t>5</w:t>
            </w:r>
            <w:r>
              <w:rPr>
                <w:rFonts w:hint="eastAsia" w:ascii="Times New Roman" w:hAnsi="Times New Roman"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lang w:val="en-US" w:eastAsia="zh-CN"/>
              </w:rPr>
              <w:t>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256" w:type="pct"/>
            <w:tcBorders>
              <w:tl2br w:val="nil"/>
              <w:tr2bl w:val="nil"/>
            </w:tcBorders>
            <w:shd w:val="clear" w:color="auto" w:fill="auto"/>
            <w:vAlign w:val="center"/>
          </w:tcPr>
          <w:p>
            <w:pPr>
              <w:widowControl/>
              <w:spacing w:line="320" w:lineRule="exact"/>
              <w:ind w:firstLine="1200" w:firstLineChars="500"/>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城镇居民人均可支配收入</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与经济同步</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lang w:val="en-US" w:eastAsia="zh-CN"/>
              </w:rPr>
              <w:t>4</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lang w:val="en-US" w:eastAsia="zh-CN"/>
              </w:rPr>
              <w:t>9</w:t>
            </w:r>
            <w:bookmarkStart w:id="0" w:name="_GoBack"/>
            <w:bookmarkEnd w:id="0"/>
            <w:r>
              <w:rPr>
                <w:rFonts w:hint="eastAsia" w:ascii="Times New Roman" w:hAnsi="Times New Roman" w:eastAsia="仿宋_GB2312" w:cs="宋体"/>
                <w:color w:val="000000" w:themeColor="text1"/>
                <w:kern w:val="0"/>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256" w:type="pct"/>
            <w:tcBorders>
              <w:tl2br w:val="nil"/>
              <w:tr2bl w:val="nil"/>
            </w:tcBorders>
            <w:shd w:val="clear" w:color="auto" w:fill="auto"/>
            <w:vAlign w:val="center"/>
          </w:tcPr>
          <w:p>
            <w:pPr>
              <w:widowControl/>
              <w:spacing w:line="320" w:lineRule="exact"/>
              <w:ind w:firstLine="1200" w:firstLineChars="500"/>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农村居民人均可支配收入</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与经济同步</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lang w:val="en-US" w:eastAsia="zh-CN"/>
              </w:rPr>
              <w:t>5</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lang w:val="en-US" w:eastAsia="zh-CN"/>
              </w:rPr>
              <w:t>1</w:t>
            </w:r>
            <w:r>
              <w:rPr>
                <w:rFonts w:hint="eastAsia" w:ascii="Times New Roman" w:hAnsi="Times New Roman" w:eastAsia="仿宋_GB2312" w:cs="宋体"/>
                <w:color w:val="000000" w:themeColor="text1"/>
                <w:kern w:val="0"/>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256" w:type="pct"/>
            <w:tcBorders>
              <w:tl2br w:val="nil"/>
              <w:tr2bl w:val="nil"/>
            </w:tcBorders>
            <w:shd w:val="clear" w:color="auto" w:fill="auto"/>
            <w:vAlign w:val="center"/>
          </w:tcPr>
          <w:p>
            <w:pPr>
              <w:widowControl/>
              <w:spacing w:line="320" w:lineRule="exact"/>
              <w:ind w:firstLine="480" w:firstLineChars="20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30</w:t>
            </w:r>
            <w:r>
              <w:rPr>
                <w:rFonts w:hint="eastAsia" w:ascii="仿宋_GB2312" w:hAnsi="宋体" w:eastAsia="仿宋_GB2312" w:cs="宋体"/>
                <w:color w:val="000000" w:themeColor="text1"/>
                <w:kern w:val="0"/>
                <w:sz w:val="24"/>
                <w:szCs w:val="24"/>
              </w:rPr>
              <w:t>．就业</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256" w:type="pct"/>
            <w:tcBorders>
              <w:tl2br w:val="nil"/>
              <w:tr2bl w:val="nil"/>
            </w:tcBorders>
            <w:shd w:val="clear" w:color="auto" w:fill="auto"/>
            <w:vAlign w:val="center"/>
          </w:tcPr>
          <w:p>
            <w:pPr>
              <w:widowControl/>
              <w:spacing w:line="320" w:lineRule="exact"/>
              <w:ind w:firstLine="1200" w:firstLineChars="500"/>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城镇新增就业人数</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6</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5</w:t>
            </w:r>
            <w:r>
              <w:rPr>
                <w:rFonts w:hint="eastAsia" w:ascii="仿宋_GB2312" w:hAnsi="宋体" w:eastAsia="仿宋_GB2312" w:cs="宋体"/>
                <w:color w:val="000000" w:themeColor="text1"/>
                <w:kern w:val="0"/>
                <w:sz w:val="24"/>
                <w:szCs w:val="24"/>
              </w:rPr>
              <w:t>万人</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10</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1</w:t>
            </w:r>
            <w:r>
              <w:rPr>
                <w:rFonts w:hint="eastAsia" w:ascii="仿宋_GB2312" w:hAnsi="宋体" w:eastAsia="仿宋_GB2312" w:cs="宋体"/>
                <w:color w:val="000000" w:themeColor="text1"/>
                <w:kern w:val="0"/>
                <w:sz w:val="24"/>
                <w:szCs w:val="24"/>
              </w:rPr>
              <w:t>万人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256" w:type="pct"/>
            <w:tcBorders>
              <w:tl2br w:val="nil"/>
              <w:tr2bl w:val="nil"/>
            </w:tcBorders>
            <w:shd w:val="clear" w:color="auto" w:fill="auto"/>
            <w:vAlign w:val="center"/>
          </w:tcPr>
          <w:p>
            <w:pPr>
              <w:widowControl/>
              <w:spacing w:line="320" w:lineRule="exact"/>
              <w:ind w:firstLine="1200" w:firstLineChars="500"/>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城镇调查失业率</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5%</w:t>
            </w:r>
            <w:r>
              <w:rPr>
                <w:rFonts w:hint="eastAsia" w:ascii="仿宋_GB2312" w:hAnsi="宋体" w:eastAsia="仿宋_GB2312" w:cs="宋体"/>
                <w:color w:val="000000" w:themeColor="text1"/>
                <w:kern w:val="0"/>
                <w:sz w:val="24"/>
                <w:szCs w:val="24"/>
              </w:rPr>
              <w:t>以内</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256" w:type="pct"/>
            <w:tcBorders>
              <w:tl2br w:val="nil"/>
              <w:tr2bl w:val="nil"/>
            </w:tcBorders>
            <w:shd w:val="clear" w:color="auto" w:fill="auto"/>
            <w:vAlign w:val="center"/>
          </w:tcPr>
          <w:p>
            <w:pPr>
              <w:widowControl/>
              <w:spacing w:line="320" w:lineRule="exact"/>
              <w:ind w:firstLine="1200" w:firstLineChars="500"/>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城镇登记失业率</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3%</w:t>
            </w:r>
            <w:r>
              <w:rPr>
                <w:rFonts w:hint="eastAsia" w:ascii="仿宋_GB2312" w:hAnsi="宋体" w:eastAsia="仿宋_GB2312" w:cs="宋体"/>
                <w:color w:val="000000" w:themeColor="text1"/>
                <w:kern w:val="0"/>
                <w:sz w:val="24"/>
                <w:szCs w:val="24"/>
              </w:rPr>
              <w:t>以内</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76%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256" w:type="pct"/>
            <w:tcBorders>
              <w:tl2br w:val="nil"/>
              <w:tr2bl w:val="nil"/>
            </w:tcBorders>
            <w:shd w:val="clear" w:color="auto" w:fill="auto"/>
            <w:vAlign w:val="center"/>
          </w:tcPr>
          <w:p>
            <w:pPr>
              <w:widowControl/>
              <w:spacing w:line="320" w:lineRule="exact"/>
              <w:ind w:firstLine="480" w:firstLineChars="20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31</w:t>
            </w:r>
            <w:r>
              <w:rPr>
                <w:rFonts w:hint="eastAsia" w:ascii="仿宋_GB2312" w:hAnsi="宋体" w:eastAsia="仿宋_GB2312" w:cs="宋体"/>
                <w:color w:val="000000" w:themeColor="text1"/>
                <w:kern w:val="0"/>
                <w:sz w:val="24"/>
                <w:szCs w:val="24"/>
              </w:rPr>
              <w:t>．社会保障</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256" w:type="pct"/>
            <w:tcBorders>
              <w:tl2br w:val="nil"/>
              <w:tr2bl w:val="nil"/>
            </w:tcBorders>
            <w:shd w:val="clear" w:color="auto" w:fill="auto"/>
            <w:vAlign w:val="center"/>
          </w:tcPr>
          <w:p>
            <w:pPr>
              <w:widowControl/>
              <w:spacing w:line="320" w:lineRule="exact"/>
              <w:ind w:firstLine="1200" w:firstLineChars="500"/>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城乡基本养老保险参保率</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98%</w:t>
            </w:r>
            <w:r>
              <w:rPr>
                <w:rFonts w:hint="eastAsia" w:ascii="仿宋_GB2312" w:hAnsi="宋体" w:eastAsia="仿宋_GB2312" w:cs="宋体"/>
                <w:color w:val="000000" w:themeColor="text1"/>
                <w:kern w:val="0"/>
                <w:sz w:val="24"/>
                <w:szCs w:val="24"/>
              </w:rPr>
              <w:t>以上</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98%</w:t>
            </w:r>
            <w:r>
              <w:rPr>
                <w:rFonts w:hint="eastAsia" w:ascii="仿宋_GB2312" w:hAnsi="宋体" w:eastAsia="仿宋_GB2312" w:cs="宋体"/>
                <w:color w:val="000000" w:themeColor="text1"/>
                <w:kern w:val="0"/>
                <w:sz w:val="24"/>
                <w:szCs w:val="24"/>
              </w:rPr>
              <w:t>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256" w:type="pct"/>
            <w:tcBorders>
              <w:tl2br w:val="nil"/>
              <w:tr2bl w:val="nil"/>
            </w:tcBorders>
            <w:shd w:val="clear" w:color="auto" w:fill="auto"/>
            <w:vAlign w:val="center"/>
          </w:tcPr>
          <w:p>
            <w:pPr>
              <w:widowControl/>
              <w:spacing w:line="320" w:lineRule="exact"/>
              <w:ind w:firstLine="1200" w:firstLineChars="500"/>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城乡基本医疗保险参保率</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98%</w:t>
            </w:r>
            <w:r>
              <w:rPr>
                <w:rFonts w:hint="eastAsia" w:ascii="仿宋_GB2312" w:hAnsi="宋体" w:eastAsia="仿宋_GB2312" w:cs="宋体"/>
                <w:color w:val="000000" w:themeColor="text1"/>
                <w:kern w:val="0"/>
                <w:sz w:val="24"/>
                <w:szCs w:val="24"/>
              </w:rPr>
              <w:t>以上</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98%</w:t>
            </w:r>
            <w:r>
              <w:rPr>
                <w:rFonts w:hint="eastAsia" w:ascii="仿宋_GB2312" w:hAnsi="宋体" w:eastAsia="仿宋_GB2312" w:cs="宋体"/>
                <w:color w:val="000000" w:themeColor="text1"/>
                <w:kern w:val="0"/>
                <w:sz w:val="24"/>
                <w:szCs w:val="24"/>
              </w:rPr>
              <w:t>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256" w:type="pct"/>
            <w:tcBorders>
              <w:tl2br w:val="nil"/>
              <w:tr2bl w:val="nil"/>
            </w:tcBorders>
            <w:shd w:val="clear" w:color="auto" w:fill="auto"/>
            <w:vAlign w:val="center"/>
          </w:tcPr>
          <w:p>
            <w:pPr>
              <w:widowControl/>
              <w:spacing w:line="320" w:lineRule="exact"/>
              <w:ind w:firstLine="1200" w:firstLineChars="500"/>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失业保险参保率</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98%</w:t>
            </w:r>
            <w:r>
              <w:rPr>
                <w:rFonts w:hint="eastAsia" w:ascii="仿宋_GB2312" w:hAnsi="宋体" w:eastAsia="仿宋_GB2312" w:cs="宋体"/>
                <w:color w:val="000000" w:themeColor="text1"/>
                <w:kern w:val="0"/>
                <w:sz w:val="24"/>
                <w:szCs w:val="24"/>
              </w:rPr>
              <w:t>以上</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98%</w:t>
            </w:r>
            <w:r>
              <w:rPr>
                <w:rFonts w:hint="eastAsia" w:ascii="仿宋_GB2312" w:hAnsi="宋体" w:eastAsia="仿宋_GB2312" w:cs="宋体"/>
                <w:color w:val="000000" w:themeColor="text1"/>
                <w:kern w:val="0"/>
                <w:sz w:val="24"/>
                <w:szCs w:val="24"/>
              </w:rPr>
              <w:t>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256" w:type="pct"/>
            <w:tcBorders>
              <w:tl2br w:val="nil"/>
              <w:tr2bl w:val="nil"/>
            </w:tcBorders>
            <w:shd w:val="clear" w:color="auto" w:fill="auto"/>
            <w:vAlign w:val="center"/>
          </w:tcPr>
          <w:p>
            <w:pPr>
              <w:widowControl/>
              <w:spacing w:line="320" w:lineRule="exact"/>
              <w:ind w:firstLine="480" w:firstLineChars="20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32</w:t>
            </w:r>
            <w:r>
              <w:rPr>
                <w:rFonts w:hint="eastAsia" w:ascii="仿宋_GB2312" w:hAnsi="宋体" w:eastAsia="仿宋_GB2312" w:cs="宋体"/>
                <w:color w:val="000000" w:themeColor="text1"/>
                <w:kern w:val="0"/>
                <w:sz w:val="24"/>
                <w:szCs w:val="24"/>
              </w:rPr>
              <w:t>．教育</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256" w:type="pct"/>
            <w:tcBorders>
              <w:tl2br w:val="nil"/>
              <w:tr2bl w:val="nil"/>
            </w:tcBorders>
            <w:shd w:val="clear" w:color="auto" w:fill="auto"/>
            <w:vAlign w:val="center"/>
          </w:tcPr>
          <w:p>
            <w:pPr>
              <w:widowControl/>
              <w:spacing w:line="320" w:lineRule="exact"/>
              <w:ind w:firstLine="1200" w:firstLineChars="500"/>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学前教育资源配置率</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75%</w:t>
            </w:r>
            <w:r>
              <w:rPr>
                <w:rFonts w:hint="eastAsia" w:ascii="仿宋_GB2312" w:hAnsi="宋体" w:eastAsia="仿宋_GB2312" w:cs="宋体"/>
                <w:color w:val="000000" w:themeColor="text1"/>
                <w:kern w:val="0"/>
                <w:sz w:val="24"/>
                <w:szCs w:val="24"/>
              </w:rPr>
              <w:t>以上</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76</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256" w:type="pct"/>
            <w:tcBorders>
              <w:tl2br w:val="nil"/>
              <w:tr2bl w:val="nil"/>
            </w:tcBorders>
            <w:shd w:val="clear" w:color="auto" w:fill="auto"/>
            <w:vAlign w:val="center"/>
          </w:tcPr>
          <w:p>
            <w:pPr>
              <w:widowControl/>
              <w:spacing w:line="320" w:lineRule="exact"/>
              <w:ind w:firstLine="1200" w:firstLineChars="500"/>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普通高中资源供给比例</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85%</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95</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256" w:type="pct"/>
            <w:tcBorders>
              <w:tl2br w:val="nil"/>
              <w:tr2bl w:val="nil"/>
            </w:tcBorders>
            <w:shd w:val="clear" w:color="auto" w:fill="auto"/>
            <w:vAlign w:val="center"/>
          </w:tcPr>
          <w:p>
            <w:pPr>
              <w:widowControl/>
              <w:spacing w:line="320" w:lineRule="exact"/>
              <w:ind w:firstLine="480" w:firstLineChars="20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33</w:t>
            </w:r>
            <w:r>
              <w:rPr>
                <w:rFonts w:hint="eastAsia" w:ascii="仿宋_GB2312" w:hAnsi="宋体" w:eastAsia="仿宋_GB2312" w:cs="宋体"/>
                <w:color w:val="000000" w:themeColor="text1"/>
                <w:kern w:val="0"/>
                <w:sz w:val="24"/>
                <w:szCs w:val="24"/>
              </w:rPr>
              <w:t>．卫生健康</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256" w:type="pct"/>
            <w:tcBorders>
              <w:tl2br w:val="nil"/>
              <w:tr2bl w:val="nil"/>
            </w:tcBorders>
            <w:shd w:val="clear" w:color="auto" w:fill="auto"/>
            <w:vAlign w:val="center"/>
          </w:tcPr>
          <w:p>
            <w:pPr>
              <w:widowControl/>
              <w:spacing w:line="320" w:lineRule="exact"/>
              <w:ind w:firstLine="1200" w:firstLineChars="500"/>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异地就医定点医院联网覆盖率</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100%</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256" w:type="pct"/>
            <w:tcBorders>
              <w:tl2br w:val="nil"/>
              <w:tr2bl w:val="nil"/>
            </w:tcBorders>
            <w:shd w:val="clear" w:color="auto" w:fill="auto"/>
            <w:vAlign w:val="center"/>
          </w:tcPr>
          <w:p>
            <w:pPr>
              <w:widowControl/>
              <w:spacing w:line="320" w:lineRule="exact"/>
              <w:ind w:firstLine="1200" w:firstLineChars="500"/>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标准化儿童预防接种门诊建成率</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100%</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256" w:type="pct"/>
            <w:tcBorders>
              <w:tl2br w:val="nil"/>
              <w:tr2bl w:val="nil"/>
            </w:tcBorders>
            <w:shd w:val="clear" w:color="auto" w:fill="auto"/>
            <w:vAlign w:val="center"/>
          </w:tcPr>
          <w:p>
            <w:pPr>
              <w:widowControl/>
              <w:spacing w:line="320" w:lineRule="exact"/>
              <w:ind w:firstLine="480" w:firstLineChars="20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34</w:t>
            </w:r>
            <w:r>
              <w:rPr>
                <w:rFonts w:hint="eastAsia" w:ascii="仿宋_GB2312" w:hAnsi="宋体" w:eastAsia="仿宋_GB2312" w:cs="宋体"/>
                <w:color w:val="000000" w:themeColor="text1"/>
                <w:kern w:val="0"/>
                <w:sz w:val="24"/>
                <w:szCs w:val="24"/>
              </w:rPr>
              <w:t>．农村低收入人口脱贫率</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100%</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256" w:type="pct"/>
            <w:tcBorders>
              <w:tl2br w:val="nil"/>
              <w:tr2bl w:val="nil"/>
            </w:tcBorders>
            <w:shd w:val="clear" w:color="auto" w:fill="auto"/>
            <w:vAlign w:val="center"/>
          </w:tcPr>
          <w:p>
            <w:pPr>
              <w:widowControl/>
              <w:spacing w:line="320" w:lineRule="exact"/>
              <w:ind w:firstLine="480" w:firstLineChars="200"/>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35</w:t>
            </w:r>
            <w:r>
              <w:rPr>
                <w:rFonts w:hint="eastAsia" w:ascii="仿宋_GB2312" w:hAnsi="宋体" w:eastAsia="仿宋_GB2312" w:cs="宋体"/>
                <w:color w:val="000000" w:themeColor="text1"/>
                <w:kern w:val="0"/>
                <w:sz w:val="24"/>
                <w:szCs w:val="24"/>
              </w:rPr>
              <w:t>．安全生产</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256" w:type="pct"/>
            <w:tcBorders>
              <w:tl2br w:val="nil"/>
              <w:tr2bl w:val="nil"/>
            </w:tcBorders>
            <w:shd w:val="clear" w:color="auto" w:fill="auto"/>
            <w:vAlign w:val="center"/>
          </w:tcPr>
          <w:p>
            <w:pPr>
              <w:widowControl/>
              <w:spacing w:line="320" w:lineRule="exact"/>
              <w:ind w:firstLine="960" w:firstLineChars="400"/>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生产安全事故起数和死亡人数</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大幅下降</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65</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5%</w:t>
            </w:r>
          </w:p>
          <w:p>
            <w:pPr>
              <w:widowControl/>
              <w:spacing w:line="320" w:lineRule="exact"/>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64</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256" w:type="pct"/>
            <w:tcBorders>
              <w:tl2br w:val="nil"/>
              <w:tr2bl w:val="nil"/>
            </w:tcBorders>
            <w:shd w:val="clear" w:color="auto" w:fill="auto"/>
            <w:vAlign w:val="center"/>
          </w:tcPr>
          <w:p>
            <w:pPr>
              <w:widowControl/>
              <w:spacing w:line="320" w:lineRule="exact"/>
              <w:ind w:firstLine="960" w:firstLineChars="400"/>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单位</w:t>
            </w:r>
            <w:r>
              <w:rPr>
                <w:rFonts w:hint="eastAsia" w:ascii="Times New Roman" w:hAnsi="Times New Roman" w:eastAsia="仿宋_GB2312" w:cs="宋体"/>
                <w:color w:val="000000" w:themeColor="text1"/>
                <w:kern w:val="0"/>
                <w:sz w:val="24"/>
                <w:szCs w:val="24"/>
              </w:rPr>
              <w:t>GDP</w:t>
            </w:r>
            <w:r>
              <w:rPr>
                <w:rFonts w:hint="eastAsia" w:ascii="仿宋_GB2312" w:hAnsi="宋体" w:eastAsia="仿宋_GB2312" w:cs="宋体"/>
                <w:color w:val="000000" w:themeColor="text1"/>
                <w:kern w:val="0"/>
                <w:sz w:val="24"/>
                <w:szCs w:val="24"/>
              </w:rPr>
              <w:t>生产安全事故死亡率</w:t>
            </w:r>
          </w:p>
        </w:tc>
        <w:tc>
          <w:tcPr>
            <w:tcW w:w="980"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0</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04</w:t>
            </w:r>
            <w:r>
              <w:rPr>
                <w:rFonts w:hint="eastAsia" w:ascii="仿宋_GB2312" w:hAnsi="宋体" w:eastAsia="仿宋_GB2312" w:cs="宋体"/>
                <w:color w:val="000000" w:themeColor="text1"/>
                <w:kern w:val="0"/>
                <w:sz w:val="24"/>
                <w:szCs w:val="24"/>
              </w:rPr>
              <w:t>人/亿元</w:t>
            </w:r>
          </w:p>
        </w:tc>
        <w:tc>
          <w:tcPr>
            <w:tcW w:w="764" w:type="pct"/>
            <w:tcBorders>
              <w:tl2br w:val="nil"/>
              <w:tr2bl w:val="nil"/>
            </w:tcBorders>
            <w:shd w:val="clear" w:color="auto" w:fill="auto"/>
            <w:vAlign w:val="center"/>
          </w:tcPr>
          <w:p>
            <w:pPr>
              <w:widowControl/>
              <w:spacing w:line="320" w:lineRule="exact"/>
              <w:jc w:val="center"/>
              <w:rPr>
                <w:rFonts w:ascii="仿宋_GB2312" w:hAnsi="宋体"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0</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013</w:t>
            </w:r>
          </w:p>
        </w:tc>
      </w:tr>
    </w:tbl>
    <w:p>
      <w:pPr>
        <w:rPr>
          <w:rFonts w:ascii="Times New Roman" w:hAnsi="Times New Roman" w:eastAsia="黑体" w:cs="Times New Roman"/>
          <w:color w:val="000000" w:themeColor="text1"/>
          <w:sz w:val="30"/>
          <w:szCs w:val="30"/>
        </w:rPr>
        <w:sectPr>
          <w:footerReference r:id="rId4" w:type="default"/>
          <w:footerReference r:id="rId5" w:type="even"/>
          <w:pgSz w:w="11906" w:h="16838"/>
          <w:pgMar w:top="2098" w:right="1474" w:bottom="1985" w:left="1588" w:header="851" w:footer="1361" w:gutter="0"/>
          <w:cols w:space="0" w:num="1"/>
          <w:docGrid w:type="lines" w:linePitch="312" w:charSpace="0"/>
        </w:sectPr>
      </w:pPr>
      <w:r>
        <w:rPr>
          <w:rFonts w:hint="eastAsia" w:ascii="仿宋_GB2312" w:hAnsi="Times New Roman" w:eastAsia="仿宋_GB2312" w:cs="Times New Roman"/>
          <w:color w:val="000000" w:themeColor="text1"/>
          <w:sz w:val="32"/>
          <w:szCs w:val="32"/>
        </w:rPr>
        <w:br w:type="page"/>
      </w:r>
    </w:p>
    <w:p>
      <w:pPr>
        <w:overflowPunct w:val="0"/>
        <w:spacing w:afterLines="50" w:line="600" w:lineRule="exact"/>
        <w:rPr>
          <w:rFonts w:ascii="Times New Roman" w:hAnsi="Times New Roman" w:eastAsia="黑体" w:cs="Times New Roman"/>
          <w:color w:val="000000" w:themeColor="text1"/>
          <w:sz w:val="30"/>
          <w:szCs w:val="30"/>
        </w:rPr>
      </w:pPr>
      <w:r>
        <w:rPr>
          <w:rFonts w:hint="eastAsia" w:ascii="Times New Roman" w:hAnsi="Times New Roman" w:eastAsia="黑体" w:cs="Times New Roman"/>
          <w:color w:val="000000" w:themeColor="text1"/>
          <w:sz w:val="30"/>
          <w:szCs w:val="30"/>
        </w:rPr>
        <w:t>附录2：</w:t>
      </w:r>
    </w:p>
    <w:p>
      <w:pPr>
        <w:overflowPunct w:val="0"/>
        <w:spacing w:afterLines="50" w:line="600" w:lineRule="exact"/>
        <w:jc w:val="center"/>
        <w:rPr>
          <w:rFonts w:ascii="方正小标宋_GBK" w:hAnsi="方正小标宋_GBK" w:eastAsia="方正小标宋_GBK" w:cs="方正小标宋_GBK"/>
          <w:color w:val="000000" w:themeColor="text1"/>
          <w:sz w:val="36"/>
          <w:szCs w:val="36"/>
        </w:rPr>
      </w:pPr>
      <w:r>
        <w:rPr>
          <w:rFonts w:hint="eastAsia" w:ascii="Times New Roman" w:hAnsi="Times New Roman" w:eastAsia="方正小标宋_GBK" w:cs="方正小标宋_GBK"/>
          <w:color w:val="000000" w:themeColor="text1"/>
          <w:sz w:val="36"/>
          <w:szCs w:val="36"/>
        </w:rPr>
        <w:t>2020</w:t>
      </w:r>
      <w:r>
        <w:rPr>
          <w:rFonts w:hint="eastAsia" w:ascii="方正小标宋_GBK" w:hAnsi="方正小标宋_GBK" w:eastAsia="方正小标宋_GBK" w:cs="方正小标宋_GBK"/>
          <w:color w:val="000000" w:themeColor="text1"/>
          <w:sz w:val="36"/>
          <w:szCs w:val="36"/>
        </w:rPr>
        <w:t>年市区改善民生实事项目完成情况</w:t>
      </w:r>
    </w:p>
    <w:tbl>
      <w:tblPr>
        <w:tblStyle w:val="7"/>
        <w:tblW w:w="5000" w:type="pct"/>
        <w:jc w:val="center"/>
        <w:tblLayout w:type="autofit"/>
        <w:tblCellMar>
          <w:top w:w="28" w:type="dxa"/>
          <w:left w:w="57" w:type="dxa"/>
          <w:bottom w:w="28" w:type="dxa"/>
          <w:right w:w="57" w:type="dxa"/>
        </w:tblCellMar>
      </w:tblPr>
      <w:tblGrid>
        <w:gridCol w:w="677"/>
        <w:gridCol w:w="5400"/>
        <w:gridCol w:w="6792"/>
      </w:tblGrid>
      <w:tr>
        <w:tblPrEx>
          <w:tblCellMar>
            <w:top w:w="28" w:type="dxa"/>
            <w:left w:w="57" w:type="dxa"/>
            <w:bottom w:w="28" w:type="dxa"/>
            <w:right w:w="57" w:type="dxa"/>
          </w:tblCellMar>
        </w:tblPrEx>
        <w:trPr>
          <w:trHeight w:val="567" w:hRule="atLeast"/>
          <w:tblHeader/>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方正黑体_GBK" w:hAnsi="方正黑体_GBK" w:eastAsia="方正黑体_GBK" w:cs="方正黑体_GBK"/>
                <w:color w:val="000000" w:themeColor="text1"/>
                <w:sz w:val="24"/>
                <w:szCs w:val="24"/>
              </w:rPr>
            </w:pPr>
            <w:r>
              <w:rPr>
                <w:rFonts w:hint="eastAsia" w:ascii="方正黑体_GBK" w:hAnsi="方正黑体_GBK" w:eastAsia="方正黑体_GBK" w:cs="方正黑体_GBK"/>
                <w:color w:val="000000" w:themeColor="text1"/>
                <w:kern w:val="0"/>
                <w:sz w:val="24"/>
                <w:szCs w:val="24"/>
              </w:rPr>
              <w:t>序号</w:t>
            </w:r>
          </w:p>
        </w:tc>
        <w:tc>
          <w:tcPr>
            <w:tcW w:w="2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方正黑体_GBK" w:hAnsi="方正黑体_GBK" w:eastAsia="方正黑体_GBK" w:cs="方正黑体_GBK"/>
                <w:color w:val="000000" w:themeColor="text1"/>
                <w:sz w:val="24"/>
                <w:szCs w:val="24"/>
              </w:rPr>
            </w:pPr>
            <w:r>
              <w:rPr>
                <w:rFonts w:hint="eastAsia" w:ascii="方正黑体_GBK" w:hAnsi="方正黑体_GBK" w:eastAsia="方正黑体_GBK" w:cs="方正黑体_GBK"/>
                <w:color w:val="000000" w:themeColor="text1"/>
                <w:kern w:val="0"/>
                <w:sz w:val="24"/>
                <w:szCs w:val="24"/>
              </w:rPr>
              <w:t>实事内容</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方正黑体_GBK" w:hAnsi="方正黑体_GBK" w:eastAsia="方正黑体_GBK" w:cs="方正黑体_GBK"/>
                <w:color w:val="000000" w:themeColor="text1"/>
                <w:sz w:val="24"/>
                <w:szCs w:val="24"/>
              </w:rPr>
            </w:pPr>
            <w:r>
              <w:rPr>
                <w:rFonts w:hint="eastAsia" w:ascii="方正黑体_GBK" w:hAnsi="方正黑体_GBK" w:eastAsia="方正黑体_GBK" w:cs="方正黑体_GBK"/>
                <w:color w:val="000000" w:themeColor="text1"/>
                <w:kern w:val="0"/>
                <w:sz w:val="24"/>
                <w:szCs w:val="24"/>
              </w:rPr>
              <w:t>进展情况</w:t>
            </w:r>
          </w:p>
        </w:tc>
      </w:tr>
      <w:tr>
        <w:tblPrEx>
          <w:tblCellMar>
            <w:top w:w="28" w:type="dxa"/>
            <w:left w:w="57" w:type="dxa"/>
            <w:bottom w:w="28" w:type="dxa"/>
            <w:right w:w="57" w:type="dxa"/>
          </w:tblCellMar>
        </w:tblPrEx>
        <w:trPr>
          <w:trHeight w:val="73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hAnsi="宋体" w:eastAsia="仿宋_GB2312" w:cs="宋体"/>
                <w:color w:val="000000" w:themeColor="text1"/>
                <w:sz w:val="24"/>
                <w:szCs w:val="24"/>
              </w:rPr>
            </w:pPr>
            <w:r>
              <w:rPr>
                <w:rFonts w:hint="eastAsia" w:ascii="Times New Roman" w:hAnsi="Times New Roman" w:eastAsia="仿宋_GB2312" w:cs="宋体"/>
                <w:color w:val="000000" w:themeColor="text1"/>
                <w:kern w:val="0"/>
                <w:sz w:val="24"/>
                <w:szCs w:val="24"/>
              </w:rPr>
              <w:t>1</w:t>
            </w:r>
          </w:p>
        </w:tc>
        <w:tc>
          <w:tcPr>
            <w:tcW w:w="2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 xml:space="preserve">建成站前路快速化、东环高架北延快速化道路，实施姜堰南绕城和东风北路快速化改造工程。 </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站前路快速化、东环高架北延快速化道路建成通车，姜堰南绕城快速化改造工程完成年度目标任务，东风北路快速化改造工程完成图纸审查，即将开工。</w:t>
            </w:r>
          </w:p>
        </w:tc>
      </w:tr>
      <w:tr>
        <w:tblPrEx>
          <w:tblCellMar>
            <w:top w:w="28" w:type="dxa"/>
            <w:left w:w="57" w:type="dxa"/>
            <w:bottom w:w="28" w:type="dxa"/>
            <w:right w:w="57" w:type="dxa"/>
          </w:tblCellMar>
        </w:tblPrEx>
        <w:trPr>
          <w:trHeight w:val="73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hAnsi="宋体" w:eastAsia="仿宋_GB2312" w:cs="宋体"/>
                <w:color w:val="000000" w:themeColor="text1"/>
                <w:sz w:val="24"/>
                <w:szCs w:val="24"/>
              </w:rPr>
            </w:pPr>
            <w:r>
              <w:rPr>
                <w:rFonts w:hint="eastAsia" w:ascii="Times New Roman" w:hAnsi="Times New Roman" w:eastAsia="仿宋_GB2312" w:cs="宋体"/>
                <w:color w:val="000000" w:themeColor="text1"/>
                <w:kern w:val="0"/>
                <w:sz w:val="24"/>
                <w:szCs w:val="24"/>
              </w:rPr>
              <w:t>2</w:t>
            </w:r>
          </w:p>
        </w:tc>
        <w:tc>
          <w:tcPr>
            <w:tcW w:w="2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开通泰州到北京、上海动车，让市民快捷进京达沪。</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泰州至上海动车</w:t>
            </w:r>
            <w:r>
              <w:rPr>
                <w:rFonts w:hint="eastAsia" w:ascii="Times New Roman" w:hAnsi="Times New Roman" w:eastAsia="仿宋_GB2312" w:cs="宋体"/>
                <w:color w:val="000000" w:themeColor="text1"/>
                <w:kern w:val="0"/>
                <w:sz w:val="24"/>
                <w:szCs w:val="24"/>
              </w:rPr>
              <w:t>2020</w:t>
            </w:r>
            <w:r>
              <w:rPr>
                <w:rFonts w:hint="eastAsia" w:ascii="仿宋_GB2312" w:hAnsi="宋体" w:eastAsia="仿宋_GB2312" w:cs="宋体"/>
                <w:color w:val="000000" w:themeColor="text1"/>
                <w:kern w:val="0"/>
                <w:sz w:val="24"/>
                <w:szCs w:val="24"/>
              </w:rPr>
              <w:t>年</w:t>
            </w:r>
            <w:r>
              <w:rPr>
                <w:rFonts w:hint="eastAsia" w:ascii="Times New Roman" w:hAnsi="Times New Roman" w:eastAsia="仿宋_GB2312" w:cs="宋体"/>
                <w:color w:val="000000" w:themeColor="text1"/>
                <w:kern w:val="0"/>
                <w:sz w:val="24"/>
                <w:szCs w:val="24"/>
              </w:rPr>
              <w:t>7</w:t>
            </w:r>
            <w:r>
              <w:rPr>
                <w:rFonts w:hint="eastAsia" w:ascii="仿宋_GB2312" w:hAnsi="宋体" w:eastAsia="仿宋_GB2312" w:cs="宋体"/>
                <w:color w:val="000000" w:themeColor="text1"/>
                <w:kern w:val="0"/>
                <w:sz w:val="24"/>
                <w:szCs w:val="24"/>
              </w:rPr>
              <w:t>月</w:t>
            </w:r>
            <w:r>
              <w:rPr>
                <w:rFonts w:hint="eastAsia" w:ascii="Times New Roman" w:hAnsi="Times New Roman" w:eastAsia="仿宋_GB2312" w:cs="宋体"/>
                <w:color w:val="000000" w:themeColor="text1"/>
                <w:kern w:val="0"/>
                <w:sz w:val="24"/>
                <w:szCs w:val="24"/>
              </w:rPr>
              <w:t>1</w:t>
            </w:r>
            <w:r>
              <w:rPr>
                <w:rFonts w:hint="eastAsia" w:ascii="仿宋_GB2312" w:hAnsi="宋体" w:eastAsia="仿宋_GB2312" w:cs="宋体"/>
                <w:color w:val="000000" w:themeColor="text1"/>
                <w:kern w:val="0"/>
                <w:sz w:val="24"/>
                <w:szCs w:val="24"/>
              </w:rPr>
              <w:t>日开通，泰州至北京动车</w:t>
            </w:r>
            <w:r>
              <w:rPr>
                <w:rFonts w:hint="eastAsia" w:ascii="Times New Roman" w:hAnsi="Times New Roman" w:eastAsia="仿宋_GB2312" w:cs="宋体"/>
                <w:color w:val="000000" w:themeColor="text1"/>
                <w:kern w:val="0"/>
                <w:sz w:val="24"/>
                <w:szCs w:val="24"/>
              </w:rPr>
              <w:t>2021</w:t>
            </w:r>
            <w:r>
              <w:rPr>
                <w:rFonts w:hint="eastAsia" w:ascii="仿宋_GB2312" w:hAnsi="宋体" w:eastAsia="仿宋_GB2312" w:cs="宋体"/>
                <w:color w:val="000000" w:themeColor="text1"/>
                <w:kern w:val="0"/>
                <w:sz w:val="24"/>
                <w:szCs w:val="24"/>
              </w:rPr>
              <w:t>年</w:t>
            </w:r>
            <w:r>
              <w:rPr>
                <w:rFonts w:hint="eastAsia" w:ascii="Times New Roman" w:hAnsi="Times New Roman" w:eastAsia="仿宋_GB2312" w:cs="宋体"/>
                <w:color w:val="000000" w:themeColor="text1"/>
                <w:kern w:val="0"/>
                <w:sz w:val="24"/>
                <w:szCs w:val="24"/>
              </w:rPr>
              <w:t>1</w:t>
            </w:r>
            <w:r>
              <w:rPr>
                <w:rFonts w:hint="eastAsia" w:ascii="仿宋_GB2312" w:hAnsi="宋体" w:eastAsia="仿宋_GB2312" w:cs="宋体"/>
                <w:color w:val="000000" w:themeColor="text1"/>
                <w:kern w:val="0"/>
                <w:sz w:val="24"/>
                <w:szCs w:val="24"/>
              </w:rPr>
              <w:t>月</w:t>
            </w:r>
            <w:r>
              <w:rPr>
                <w:rFonts w:hint="eastAsia" w:ascii="Times New Roman" w:hAnsi="Times New Roman" w:eastAsia="仿宋_GB2312" w:cs="宋体"/>
                <w:color w:val="000000" w:themeColor="text1"/>
                <w:kern w:val="0"/>
                <w:sz w:val="24"/>
                <w:szCs w:val="24"/>
              </w:rPr>
              <w:t>20</w:t>
            </w:r>
            <w:r>
              <w:rPr>
                <w:rFonts w:hint="eastAsia" w:ascii="仿宋_GB2312" w:hAnsi="宋体" w:eastAsia="仿宋_GB2312" w:cs="宋体"/>
                <w:color w:val="000000" w:themeColor="text1"/>
                <w:kern w:val="0"/>
                <w:sz w:val="24"/>
                <w:szCs w:val="24"/>
              </w:rPr>
              <w:t>日开通。</w:t>
            </w:r>
          </w:p>
        </w:tc>
      </w:tr>
      <w:tr>
        <w:tblPrEx>
          <w:tblCellMar>
            <w:top w:w="28" w:type="dxa"/>
            <w:left w:w="57" w:type="dxa"/>
            <w:bottom w:w="28" w:type="dxa"/>
            <w:right w:w="57" w:type="dxa"/>
          </w:tblCellMar>
        </w:tblPrEx>
        <w:trPr>
          <w:trHeight w:val="73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hAnsi="宋体" w:eastAsia="仿宋_GB2312" w:cs="宋体"/>
                <w:color w:val="000000" w:themeColor="text1"/>
                <w:sz w:val="24"/>
                <w:szCs w:val="24"/>
              </w:rPr>
            </w:pPr>
            <w:r>
              <w:rPr>
                <w:rFonts w:hint="eastAsia" w:ascii="Times New Roman" w:hAnsi="Times New Roman" w:eastAsia="仿宋_GB2312" w:cs="宋体"/>
                <w:color w:val="000000" w:themeColor="text1"/>
                <w:kern w:val="0"/>
                <w:sz w:val="24"/>
                <w:szCs w:val="24"/>
              </w:rPr>
              <w:t>3</w:t>
            </w:r>
          </w:p>
        </w:tc>
        <w:tc>
          <w:tcPr>
            <w:tcW w:w="2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开工建设周山河公交停保场、刁铺公交枢纽站，建成城东公交枢纽站。</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周山河公交停保场、刁铺公交枢纽站完成前期工作，即将动工。城东公交枢纽站项目完工。</w:t>
            </w:r>
          </w:p>
        </w:tc>
      </w:tr>
      <w:tr>
        <w:tblPrEx>
          <w:tblCellMar>
            <w:top w:w="28" w:type="dxa"/>
            <w:left w:w="57" w:type="dxa"/>
            <w:bottom w:w="28" w:type="dxa"/>
            <w:right w:w="57" w:type="dxa"/>
          </w:tblCellMar>
        </w:tblPrEx>
        <w:trPr>
          <w:trHeight w:val="73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hAnsi="宋体" w:eastAsia="仿宋_GB2312" w:cs="宋体"/>
                <w:color w:val="000000" w:themeColor="text1"/>
                <w:sz w:val="24"/>
                <w:szCs w:val="24"/>
              </w:rPr>
            </w:pPr>
            <w:r>
              <w:rPr>
                <w:rFonts w:hint="eastAsia" w:ascii="Times New Roman" w:hAnsi="Times New Roman" w:eastAsia="仿宋_GB2312" w:cs="宋体"/>
                <w:color w:val="000000" w:themeColor="text1"/>
                <w:kern w:val="0"/>
                <w:sz w:val="24"/>
                <w:szCs w:val="24"/>
              </w:rPr>
              <w:t>4</w:t>
            </w:r>
          </w:p>
        </w:tc>
        <w:tc>
          <w:tcPr>
            <w:tcW w:w="2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完成好巴士中运量公交</w:t>
            </w:r>
            <w:r>
              <w:rPr>
                <w:rFonts w:hint="eastAsia" w:ascii="Times New Roman" w:hAnsi="Times New Roman" w:eastAsia="仿宋_GB2312" w:cs="宋体"/>
                <w:color w:val="000000" w:themeColor="text1"/>
                <w:kern w:val="0"/>
                <w:sz w:val="24"/>
                <w:szCs w:val="24"/>
              </w:rPr>
              <w:t>1</w:t>
            </w:r>
            <w:r>
              <w:rPr>
                <w:rFonts w:hint="eastAsia" w:ascii="仿宋_GB2312" w:hAnsi="宋体" w:eastAsia="仿宋_GB2312" w:cs="宋体"/>
                <w:color w:val="000000" w:themeColor="text1"/>
                <w:kern w:val="0"/>
                <w:sz w:val="24"/>
                <w:szCs w:val="24"/>
              </w:rPr>
              <w:t>号线、信号灯优先和公交专用道建设。</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好巴士中运量公交</w:t>
            </w:r>
            <w:r>
              <w:rPr>
                <w:rFonts w:hint="eastAsia" w:ascii="Times New Roman" w:hAnsi="Times New Roman" w:eastAsia="仿宋_GB2312" w:cs="宋体"/>
                <w:color w:val="000000" w:themeColor="text1"/>
                <w:kern w:val="0"/>
                <w:sz w:val="24"/>
                <w:szCs w:val="24"/>
              </w:rPr>
              <w:t>1</w:t>
            </w:r>
            <w:r>
              <w:rPr>
                <w:rFonts w:hint="eastAsia" w:ascii="仿宋_GB2312" w:hAnsi="宋体" w:eastAsia="仿宋_GB2312" w:cs="宋体"/>
                <w:color w:val="000000" w:themeColor="text1"/>
                <w:kern w:val="0"/>
                <w:sz w:val="24"/>
                <w:szCs w:val="24"/>
              </w:rPr>
              <w:t>号线、信号灯优先和公交专用道建设项目完工。</w:t>
            </w:r>
          </w:p>
        </w:tc>
      </w:tr>
      <w:tr>
        <w:tblPrEx>
          <w:tblCellMar>
            <w:top w:w="28" w:type="dxa"/>
            <w:left w:w="57" w:type="dxa"/>
            <w:bottom w:w="28" w:type="dxa"/>
            <w:right w:w="57" w:type="dxa"/>
          </w:tblCellMar>
        </w:tblPrEx>
        <w:trPr>
          <w:trHeight w:val="56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hAnsi="宋体" w:eastAsia="仿宋_GB2312" w:cs="宋体"/>
                <w:color w:val="000000" w:themeColor="text1"/>
                <w:sz w:val="24"/>
                <w:szCs w:val="24"/>
              </w:rPr>
            </w:pPr>
            <w:r>
              <w:rPr>
                <w:rFonts w:hint="eastAsia" w:ascii="Times New Roman" w:hAnsi="Times New Roman" w:eastAsia="仿宋_GB2312" w:cs="宋体"/>
                <w:color w:val="000000" w:themeColor="text1"/>
                <w:kern w:val="0"/>
                <w:sz w:val="24"/>
                <w:szCs w:val="24"/>
              </w:rPr>
              <w:t>5</w:t>
            </w:r>
          </w:p>
        </w:tc>
        <w:tc>
          <w:tcPr>
            <w:tcW w:w="2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更新新能源公交车</w:t>
            </w:r>
            <w:r>
              <w:rPr>
                <w:rFonts w:hint="eastAsia" w:ascii="Times New Roman" w:hAnsi="Times New Roman" w:eastAsia="仿宋_GB2312" w:cs="宋体"/>
                <w:color w:val="000000" w:themeColor="text1"/>
                <w:kern w:val="0"/>
                <w:sz w:val="24"/>
                <w:szCs w:val="24"/>
              </w:rPr>
              <w:t>180</w:t>
            </w:r>
            <w:r>
              <w:rPr>
                <w:rFonts w:hint="eastAsia" w:ascii="仿宋_GB2312" w:hAnsi="宋体" w:eastAsia="仿宋_GB2312" w:cs="宋体"/>
                <w:color w:val="000000" w:themeColor="text1"/>
                <w:kern w:val="0"/>
                <w:sz w:val="24"/>
                <w:szCs w:val="24"/>
              </w:rPr>
              <w:t>辆。</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Times New Roman" w:hAnsi="Times New Roman" w:eastAsia="仿宋_GB2312" w:cs="宋体"/>
                <w:color w:val="000000" w:themeColor="text1"/>
                <w:kern w:val="0"/>
                <w:sz w:val="24"/>
                <w:szCs w:val="24"/>
              </w:rPr>
              <w:t>180</w:t>
            </w:r>
            <w:r>
              <w:rPr>
                <w:rFonts w:hint="eastAsia" w:ascii="仿宋_GB2312" w:hAnsi="宋体" w:eastAsia="仿宋_GB2312" w:cs="宋体"/>
                <w:color w:val="000000" w:themeColor="text1"/>
                <w:kern w:val="0"/>
                <w:sz w:val="24"/>
                <w:szCs w:val="24"/>
              </w:rPr>
              <w:t>辆新能源公交车已全部投入运营。</w:t>
            </w:r>
          </w:p>
        </w:tc>
      </w:tr>
      <w:tr>
        <w:tblPrEx>
          <w:tblCellMar>
            <w:top w:w="28" w:type="dxa"/>
            <w:left w:w="57" w:type="dxa"/>
            <w:bottom w:w="28" w:type="dxa"/>
            <w:right w:w="57" w:type="dxa"/>
          </w:tblCellMar>
        </w:tblPrEx>
        <w:trPr>
          <w:trHeight w:val="56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hAnsi="宋体" w:eastAsia="仿宋_GB2312" w:cs="宋体"/>
                <w:color w:val="000000" w:themeColor="text1"/>
                <w:sz w:val="24"/>
                <w:szCs w:val="24"/>
              </w:rPr>
            </w:pPr>
            <w:r>
              <w:rPr>
                <w:rFonts w:hint="eastAsia" w:ascii="Times New Roman" w:hAnsi="Times New Roman" w:eastAsia="仿宋_GB2312" w:cs="宋体"/>
                <w:color w:val="000000" w:themeColor="text1"/>
                <w:kern w:val="0"/>
                <w:sz w:val="24"/>
                <w:szCs w:val="24"/>
              </w:rPr>
              <w:t>6</w:t>
            </w:r>
          </w:p>
        </w:tc>
        <w:tc>
          <w:tcPr>
            <w:tcW w:w="2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投放共享单车（助力自行车）</w:t>
            </w:r>
            <w:r>
              <w:rPr>
                <w:rFonts w:hint="eastAsia" w:ascii="Times New Roman" w:hAnsi="Times New Roman" w:eastAsia="仿宋_GB2312" w:cs="宋体"/>
                <w:color w:val="000000" w:themeColor="text1"/>
                <w:kern w:val="0"/>
                <w:sz w:val="24"/>
                <w:szCs w:val="24"/>
              </w:rPr>
              <w:t>1</w:t>
            </w:r>
            <w:r>
              <w:rPr>
                <w:rFonts w:hint="eastAsia" w:ascii="仿宋_GB2312" w:hAnsi="宋体" w:eastAsia="仿宋_GB2312" w:cs="宋体"/>
                <w:color w:val="000000" w:themeColor="text1"/>
                <w:kern w:val="0"/>
                <w:sz w:val="24"/>
                <w:szCs w:val="24"/>
              </w:rPr>
              <w:t>万辆。</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已投放共享单车（助力自行车）</w:t>
            </w:r>
            <w:r>
              <w:rPr>
                <w:rFonts w:hint="eastAsia" w:ascii="Times New Roman" w:hAnsi="Times New Roman" w:eastAsia="仿宋_GB2312" w:cs="宋体"/>
                <w:color w:val="000000" w:themeColor="text1"/>
                <w:kern w:val="0"/>
                <w:sz w:val="24"/>
                <w:szCs w:val="24"/>
              </w:rPr>
              <w:t>10000</w:t>
            </w:r>
            <w:r>
              <w:rPr>
                <w:rFonts w:hint="eastAsia" w:ascii="仿宋_GB2312" w:hAnsi="宋体" w:eastAsia="仿宋_GB2312" w:cs="宋体"/>
                <w:color w:val="000000" w:themeColor="text1"/>
                <w:kern w:val="0"/>
                <w:sz w:val="24"/>
                <w:szCs w:val="24"/>
              </w:rPr>
              <w:t>辆。</w:t>
            </w:r>
          </w:p>
        </w:tc>
      </w:tr>
      <w:tr>
        <w:tblPrEx>
          <w:tblCellMar>
            <w:top w:w="28" w:type="dxa"/>
            <w:left w:w="57" w:type="dxa"/>
            <w:bottom w:w="28" w:type="dxa"/>
            <w:right w:w="57" w:type="dxa"/>
          </w:tblCellMar>
        </w:tblPrEx>
        <w:trPr>
          <w:trHeight w:val="73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hAnsi="宋体" w:eastAsia="仿宋_GB2312" w:cs="宋体"/>
                <w:color w:val="000000" w:themeColor="text1"/>
                <w:sz w:val="24"/>
                <w:szCs w:val="24"/>
              </w:rPr>
            </w:pPr>
            <w:r>
              <w:rPr>
                <w:rFonts w:hint="eastAsia" w:ascii="Times New Roman" w:hAnsi="Times New Roman" w:eastAsia="仿宋_GB2312" w:cs="宋体"/>
                <w:color w:val="000000" w:themeColor="text1"/>
                <w:kern w:val="0"/>
                <w:sz w:val="24"/>
                <w:szCs w:val="24"/>
              </w:rPr>
              <w:t>7</w:t>
            </w:r>
          </w:p>
        </w:tc>
        <w:tc>
          <w:tcPr>
            <w:tcW w:w="2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新增就业</w:t>
            </w:r>
            <w:r>
              <w:rPr>
                <w:rFonts w:hint="eastAsia" w:ascii="Times New Roman" w:hAnsi="Times New Roman" w:eastAsia="仿宋_GB2312" w:cs="宋体"/>
                <w:color w:val="000000" w:themeColor="text1"/>
                <w:kern w:val="0"/>
                <w:sz w:val="24"/>
                <w:szCs w:val="24"/>
              </w:rPr>
              <w:t>3</w:t>
            </w:r>
            <w:r>
              <w:rPr>
                <w:rFonts w:hint="eastAsia" w:ascii="仿宋_GB2312" w:hAnsi="宋体" w:eastAsia="仿宋_GB2312" w:cs="宋体"/>
                <w:color w:val="000000" w:themeColor="text1"/>
                <w:kern w:val="0"/>
                <w:sz w:val="24"/>
                <w:szCs w:val="24"/>
              </w:rPr>
              <w:t>万人（海陵区</w:t>
            </w:r>
            <w:r>
              <w:rPr>
                <w:rFonts w:hint="eastAsia" w:ascii="Times New Roman" w:hAnsi="Times New Roman" w:eastAsia="仿宋_GB2312" w:cs="宋体"/>
                <w:color w:val="000000" w:themeColor="text1"/>
                <w:kern w:val="0"/>
                <w:sz w:val="24"/>
                <w:szCs w:val="24"/>
              </w:rPr>
              <w:t>8000</w:t>
            </w:r>
            <w:r>
              <w:rPr>
                <w:rFonts w:hint="eastAsia" w:ascii="仿宋_GB2312" w:hAnsi="宋体" w:eastAsia="仿宋_GB2312" w:cs="宋体"/>
                <w:color w:val="000000" w:themeColor="text1"/>
                <w:kern w:val="0"/>
                <w:sz w:val="24"/>
                <w:szCs w:val="24"/>
              </w:rPr>
              <w:t>人、高港区</w:t>
            </w:r>
            <w:r>
              <w:rPr>
                <w:rFonts w:hint="eastAsia" w:ascii="Times New Roman" w:hAnsi="Times New Roman" w:eastAsia="仿宋_GB2312" w:cs="宋体"/>
                <w:color w:val="000000" w:themeColor="text1"/>
                <w:kern w:val="0"/>
                <w:sz w:val="24"/>
                <w:szCs w:val="24"/>
              </w:rPr>
              <w:t>8000</w:t>
            </w:r>
            <w:r>
              <w:rPr>
                <w:rFonts w:hint="eastAsia" w:ascii="仿宋_GB2312" w:hAnsi="宋体" w:eastAsia="仿宋_GB2312" w:cs="宋体"/>
                <w:color w:val="000000" w:themeColor="text1"/>
                <w:kern w:val="0"/>
                <w:sz w:val="24"/>
                <w:szCs w:val="24"/>
              </w:rPr>
              <w:t>人、姜堰区</w:t>
            </w:r>
            <w:r>
              <w:rPr>
                <w:rFonts w:hint="eastAsia" w:ascii="Times New Roman" w:hAnsi="Times New Roman" w:eastAsia="仿宋_GB2312" w:cs="宋体"/>
                <w:color w:val="000000" w:themeColor="text1"/>
                <w:kern w:val="0"/>
                <w:sz w:val="24"/>
                <w:szCs w:val="24"/>
              </w:rPr>
              <w:t>8500</w:t>
            </w:r>
            <w:r>
              <w:rPr>
                <w:rFonts w:hint="eastAsia" w:ascii="仿宋_GB2312" w:hAnsi="宋体" w:eastAsia="仿宋_GB2312" w:cs="宋体"/>
                <w:color w:val="000000" w:themeColor="text1"/>
                <w:kern w:val="0"/>
                <w:sz w:val="24"/>
                <w:szCs w:val="24"/>
              </w:rPr>
              <w:t>人、医药高新区</w:t>
            </w:r>
            <w:r>
              <w:rPr>
                <w:rFonts w:hint="eastAsia" w:ascii="Times New Roman" w:hAnsi="Times New Roman" w:eastAsia="仿宋_GB2312" w:cs="宋体"/>
                <w:color w:val="000000" w:themeColor="text1"/>
                <w:kern w:val="0"/>
                <w:sz w:val="24"/>
                <w:szCs w:val="24"/>
              </w:rPr>
              <w:t>5500</w:t>
            </w:r>
            <w:r>
              <w:rPr>
                <w:rFonts w:hint="eastAsia" w:ascii="仿宋_GB2312" w:hAnsi="宋体" w:eastAsia="仿宋_GB2312" w:cs="宋体"/>
                <w:color w:val="000000" w:themeColor="text1"/>
                <w:kern w:val="0"/>
                <w:sz w:val="24"/>
                <w:szCs w:val="24"/>
              </w:rPr>
              <w:t>人）。</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市区实现新增就业</w:t>
            </w:r>
            <w:r>
              <w:rPr>
                <w:rFonts w:hint="eastAsia" w:ascii="Times New Roman" w:hAnsi="Times New Roman" w:eastAsia="仿宋_GB2312" w:cs="宋体"/>
                <w:color w:val="000000" w:themeColor="text1"/>
                <w:kern w:val="0"/>
                <w:sz w:val="24"/>
                <w:szCs w:val="24"/>
              </w:rPr>
              <w:t>52143</w:t>
            </w:r>
            <w:r>
              <w:rPr>
                <w:rFonts w:hint="eastAsia" w:ascii="仿宋_GB2312" w:hAnsi="宋体" w:eastAsia="仿宋_GB2312" w:cs="宋体"/>
                <w:color w:val="000000" w:themeColor="text1"/>
                <w:kern w:val="0"/>
                <w:sz w:val="24"/>
                <w:szCs w:val="24"/>
              </w:rPr>
              <w:t>人，其中海陵区</w:t>
            </w:r>
            <w:r>
              <w:rPr>
                <w:rFonts w:hint="eastAsia" w:ascii="Times New Roman" w:hAnsi="Times New Roman" w:eastAsia="仿宋_GB2312" w:cs="宋体"/>
                <w:color w:val="000000" w:themeColor="text1"/>
                <w:kern w:val="0"/>
                <w:sz w:val="24"/>
                <w:szCs w:val="24"/>
              </w:rPr>
              <w:t>14488</w:t>
            </w:r>
            <w:r>
              <w:rPr>
                <w:rFonts w:hint="eastAsia" w:ascii="仿宋_GB2312" w:hAnsi="宋体" w:eastAsia="仿宋_GB2312" w:cs="宋体"/>
                <w:color w:val="000000" w:themeColor="text1"/>
                <w:kern w:val="0"/>
                <w:sz w:val="24"/>
                <w:szCs w:val="24"/>
              </w:rPr>
              <w:t>人，高港区</w:t>
            </w:r>
            <w:r>
              <w:rPr>
                <w:rFonts w:hint="eastAsia" w:ascii="Times New Roman" w:hAnsi="Times New Roman" w:eastAsia="仿宋_GB2312" w:cs="宋体"/>
                <w:color w:val="000000" w:themeColor="text1"/>
                <w:kern w:val="0"/>
                <w:sz w:val="24"/>
                <w:szCs w:val="24"/>
              </w:rPr>
              <w:t>14097</w:t>
            </w:r>
            <w:r>
              <w:rPr>
                <w:rFonts w:hint="eastAsia" w:ascii="仿宋_GB2312" w:hAnsi="宋体" w:eastAsia="仿宋_GB2312" w:cs="宋体"/>
                <w:color w:val="000000" w:themeColor="text1"/>
                <w:kern w:val="0"/>
                <w:sz w:val="24"/>
                <w:szCs w:val="24"/>
              </w:rPr>
              <w:t>人，姜堰区</w:t>
            </w:r>
            <w:r>
              <w:rPr>
                <w:rFonts w:hint="eastAsia" w:ascii="Times New Roman" w:hAnsi="Times New Roman" w:eastAsia="仿宋_GB2312" w:cs="宋体"/>
                <w:color w:val="000000" w:themeColor="text1"/>
                <w:kern w:val="0"/>
                <w:sz w:val="24"/>
                <w:szCs w:val="24"/>
              </w:rPr>
              <w:t>14160</w:t>
            </w:r>
            <w:r>
              <w:rPr>
                <w:rFonts w:hint="eastAsia" w:ascii="仿宋_GB2312" w:hAnsi="宋体" w:eastAsia="仿宋_GB2312" w:cs="宋体"/>
                <w:color w:val="000000" w:themeColor="text1"/>
                <w:kern w:val="0"/>
                <w:sz w:val="24"/>
                <w:szCs w:val="24"/>
              </w:rPr>
              <w:t>人，医药高新区</w:t>
            </w:r>
            <w:r>
              <w:rPr>
                <w:rFonts w:hint="eastAsia" w:ascii="Times New Roman" w:hAnsi="Times New Roman" w:eastAsia="仿宋_GB2312" w:cs="宋体"/>
                <w:color w:val="000000" w:themeColor="text1"/>
                <w:kern w:val="0"/>
                <w:sz w:val="24"/>
                <w:szCs w:val="24"/>
              </w:rPr>
              <w:t>9398</w:t>
            </w:r>
            <w:r>
              <w:rPr>
                <w:rFonts w:hint="eastAsia" w:ascii="仿宋_GB2312" w:hAnsi="宋体" w:eastAsia="仿宋_GB2312" w:cs="宋体"/>
                <w:color w:val="000000" w:themeColor="text1"/>
                <w:kern w:val="0"/>
                <w:sz w:val="24"/>
                <w:szCs w:val="24"/>
              </w:rPr>
              <w:t>人。</w:t>
            </w:r>
          </w:p>
        </w:tc>
      </w:tr>
      <w:tr>
        <w:tblPrEx>
          <w:tblCellMar>
            <w:top w:w="28" w:type="dxa"/>
            <w:left w:w="57" w:type="dxa"/>
            <w:bottom w:w="28" w:type="dxa"/>
            <w:right w:w="57" w:type="dxa"/>
          </w:tblCellMar>
        </w:tblPrEx>
        <w:trPr>
          <w:trHeight w:val="73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hAnsi="宋体" w:eastAsia="仿宋_GB2312" w:cs="宋体"/>
                <w:color w:val="000000" w:themeColor="text1"/>
                <w:sz w:val="24"/>
                <w:szCs w:val="24"/>
              </w:rPr>
            </w:pPr>
            <w:r>
              <w:rPr>
                <w:rFonts w:hint="eastAsia" w:ascii="Times New Roman" w:hAnsi="Times New Roman" w:eastAsia="仿宋_GB2312" w:cs="宋体"/>
                <w:color w:val="000000" w:themeColor="text1"/>
                <w:kern w:val="0"/>
                <w:sz w:val="24"/>
                <w:szCs w:val="24"/>
              </w:rPr>
              <w:t>8</w:t>
            </w:r>
          </w:p>
        </w:tc>
        <w:tc>
          <w:tcPr>
            <w:tcW w:w="2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为青年（含高校毕业生）提供就业见习服务，开发就业见习岗位</w:t>
            </w:r>
            <w:r>
              <w:rPr>
                <w:rFonts w:hint="eastAsia" w:ascii="Times New Roman" w:hAnsi="Times New Roman" w:eastAsia="仿宋_GB2312" w:cs="宋体"/>
                <w:color w:val="000000" w:themeColor="text1"/>
                <w:kern w:val="0"/>
                <w:sz w:val="24"/>
                <w:szCs w:val="24"/>
              </w:rPr>
              <w:t>2000</w:t>
            </w:r>
            <w:r>
              <w:rPr>
                <w:rFonts w:hint="eastAsia" w:ascii="仿宋_GB2312" w:hAnsi="宋体" w:eastAsia="仿宋_GB2312" w:cs="宋体"/>
                <w:color w:val="000000" w:themeColor="text1"/>
                <w:kern w:val="0"/>
                <w:sz w:val="24"/>
                <w:szCs w:val="24"/>
              </w:rPr>
              <w:t>个。</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开发就业见习岗位</w:t>
            </w:r>
            <w:r>
              <w:rPr>
                <w:rFonts w:hint="eastAsia" w:ascii="Times New Roman" w:hAnsi="Times New Roman" w:eastAsia="仿宋_GB2312" w:cs="宋体"/>
                <w:color w:val="000000" w:themeColor="text1"/>
                <w:kern w:val="0"/>
                <w:sz w:val="24"/>
                <w:szCs w:val="24"/>
              </w:rPr>
              <w:t>7900</w:t>
            </w:r>
            <w:r>
              <w:rPr>
                <w:rFonts w:hint="eastAsia" w:ascii="仿宋_GB2312" w:hAnsi="宋体" w:eastAsia="仿宋_GB2312" w:cs="宋体"/>
                <w:color w:val="000000" w:themeColor="text1"/>
                <w:kern w:val="0"/>
                <w:sz w:val="24"/>
                <w:szCs w:val="24"/>
              </w:rPr>
              <w:t>个。</w:t>
            </w:r>
          </w:p>
        </w:tc>
      </w:tr>
      <w:tr>
        <w:tblPrEx>
          <w:tblCellMar>
            <w:top w:w="28" w:type="dxa"/>
            <w:left w:w="57" w:type="dxa"/>
            <w:bottom w:w="28" w:type="dxa"/>
            <w:right w:w="57" w:type="dxa"/>
          </w:tblCellMar>
        </w:tblPrEx>
        <w:trPr>
          <w:trHeight w:val="73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hAnsi="宋体" w:eastAsia="仿宋_GB2312" w:cs="宋体"/>
                <w:color w:val="000000" w:themeColor="text1"/>
                <w:sz w:val="24"/>
                <w:szCs w:val="24"/>
              </w:rPr>
            </w:pPr>
            <w:r>
              <w:rPr>
                <w:rFonts w:hint="eastAsia" w:ascii="Times New Roman" w:hAnsi="Times New Roman" w:eastAsia="仿宋_GB2312" w:cs="宋体"/>
                <w:color w:val="000000" w:themeColor="text1"/>
                <w:kern w:val="0"/>
                <w:sz w:val="24"/>
                <w:szCs w:val="24"/>
              </w:rPr>
              <w:t>9</w:t>
            </w:r>
          </w:p>
        </w:tc>
        <w:tc>
          <w:tcPr>
            <w:tcW w:w="2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将低收入家庭大重病患者（扩大至白血病、终末期肾病、恶性肿瘤等</w:t>
            </w:r>
            <w:r>
              <w:rPr>
                <w:rFonts w:hint="eastAsia" w:ascii="Times New Roman" w:hAnsi="Times New Roman" w:eastAsia="仿宋_GB2312" w:cs="宋体"/>
                <w:color w:val="000000" w:themeColor="text1"/>
                <w:kern w:val="0"/>
                <w:sz w:val="24"/>
                <w:szCs w:val="24"/>
              </w:rPr>
              <w:t>17</w:t>
            </w:r>
            <w:r>
              <w:rPr>
                <w:rFonts w:hint="eastAsia" w:ascii="仿宋_GB2312" w:hAnsi="宋体" w:eastAsia="仿宋_GB2312" w:cs="宋体"/>
                <w:color w:val="000000" w:themeColor="text1"/>
                <w:kern w:val="0"/>
                <w:sz w:val="24"/>
                <w:szCs w:val="24"/>
              </w:rPr>
              <w:t>个病种）参照单人户纳入最低生活保障，每月享受全额低保金。</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下发《关于对低收入家庭中大重病患者按照单人户纳入最低生活保障的通知》（泰民发〔</w:t>
            </w:r>
            <w:r>
              <w:rPr>
                <w:rFonts w:hint="eastAsia" w:ascii="Times New Roman" w:hAnsi="Times New Roman" w:eastAsia="仿宋_GB2312" w:cs="宋体"/>
                <w:color w:val="000000" w:themeColor="text1"/>
                <w:kern w:val="0"/>
                <w:sz w:val="24"/>
                <w:szCs w:val="24"/>
              </w:rPr>
              <w:t>2020</w:t>
            </w:r>
            <w:r>
              <w:rPr>
                <w:rFonts w:hint="eastAsia" w:ascii="仿宋_GB2312" w:hAnsi="宋体" w:eastAsia="仿宋_GB2312"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4</w:t>
            </w:r>
            <w:r>
              <w:rPr>
                <w:rFonts w:hint="eastAsia" w:ascii="仿宋_GB2312" w:hAnsi="宋体" w:eastAsia="仿宋_GB2312" w:cs="宋体"/>
                <w:color w:val="000000" w:themeColor="text1"/>
                <w:kern w:val="0"/>
                <w:sz w:val="24"/>
                <w:szCs w:val="24"/>
              </w:rPr>
              <w:t>号），全年办理单人保</w:t>
            </w:r>
            <w:r>
              <w:rPr>
                <w:rFonts w:hint="eastAsia" w:ascii="Times New Roman" w:hAnsi="Times New Roman" w:eastAsia="仿宋_GB2312" w:cs="宋体"/>
                <w:color w:val="000000" w:themeColor="text1"/>
                <w:kern w:val="0"/>
                <w:sz w:val="24"/>
                <w:szCs w:val="24"/>
              </w:rPr>
              <w:t>266</w:t>
            </w:r>
            <w:r>
              <w:rPr>
                <w:rFonts w:hint="eastAsia" w:ascii="仿宋_GB2312" w:hAnsi="宋体" w:eastAsia="仿宋_GB2312" w:cs="宋体"/>
                <w:color w:val="000000" w:themeColor="text1"/>
                <w:kern w:val="0"/>
                <w:sz w:val="24"/>
                <w:szCs w:val="24"/>
              </w:rPr>
              <w:t>人。</w:t>
            </w:r>
          </w:p>
        </w:tc>
      </w:tr>
      <w:tr>
        <w:tblPrEx>
          <w:tblCellMar>
            <w:top w:w="28" w:type="dxa"/>
            <w:left w:w="57" w:type="dxa"/>
            <w:bottom w:w="28" w:type="dxa"/>
            <w:right w:w="57" w:type="dxa"/>
          </w:tblCellMar>
        </w:tblPrEx>
        <w:trPr>
          <w:trHeight w:val="73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hAnsi="宋体" w:eastAsia="仿宋_GB2312" w:cs="宋体"/>
                <w:color w:val="000000" w:themeColor="text1"/>
                <w:sz w:val="24"/>
                <w:szCs w:val="24"/>
              </w:rPr>
            </w:pPr>
            <w:r>
              <w:rPr>
                <w:rFonts w:hint="eastAsia" w:ascii="Times New Roman" w:hAnsi="Times New Roman" w:eastAsia="仿宋_GB2312" w:cs="宋体"/>
                <w:color w:val="000000" w:themeColor="text1"/>
                <w:kern w:val="0"/>
                <w:sz w:val="24"/>
                <w:szCs w:val="24"/>
              </w:rPr>
              <w:t>10</w:t>
            </w:r>
          </w:p>
        </w:tc>
        <w:tc>
          <w:tcPr>
            <w:tcW w:w="2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对市区</w:t>
            </w:r>
            <w:r>
              <w:rPr>
                <w:rFonts w:hint="eastAsia" w:ascii="Times New Roman" w:hAnsi="Times New Roman" w:eastAsia="仿宋_GB2312" w:cs="宋体"/>
                <w:color w:val="000000" w:themeColor="text1"/>
                <w:kern w:val="0"/>
                <w:sz w:val="24"/>
                <w:szCs w:val="24"/>
              </w:rPr>
              <w:t>1000</w:t>
            </w:r>
            <w:r>
              <w:rPr>
                <w:rFonts w:hint="eastAsia" w:ascii="仿宋_GB2312" w:hAnsi="宋体" w:eastAsia="仿宋_GB2312" w:cs="宋体"/>
                <w:color w:val="000000" w:themeColor="text1"/>
                <w:kern w:val="0"/>
                <w:sz w:val="24"/>
                <w:szCs w:val="24"/>
              </w:rPr>
              <w:t>户（海陵区</w:t>
            </w:r>
            <w:r>
              <w:rPr>
                <w:rFonts w:hint="eastAsia" w:ascii="Times New Roman" w:hAnsi="Times New Roman" w:eastAsia="仿宋_GB2312" w:cs="宋体"/>
                <w:color w:val="000000" w:themeColor="text1"/>
                <w:kern w:val="0"/>
                <w:sz w:val="24"/>
                <w:szCs w:val="24"/>
              </w:rPr>
              <w:t>250</w:t>
            </w:r>
            <w:r>
              <w:rPr>
                <w:rFonts w:hint="eastAsia" w:ascii="仿宋_GB2312" w:hAnsi="宋体" w:eastAsia="仿宋_GB2312" w:cs="宋体"/>
                <w:color w:val="000000" w:themeColor="text1"/>
                <w:kern w:val="0"/>
                <w:sz w:val="24"/>
                <w:szCs w:val="24"/>
              </w:rPr>
              <w:t>户、高港区</w:t>
            </w:r>
            <w:r>
              <w:rPr>
                <w:rFonts w:hint="eastAsia" w:ascii="Times New Roman" w:hAnsi="Times New Roman" w:eastAsia="仿宋_GB2312" w:cs="宋体"/>
                <w:color w:val="000000" w:themeColor="text1"/>
                <w:kern w:val="0"/>
                <w:sz w:val="24"/>
                <w:szCs w:val="24"/>
              </w:rPr>
              <w:t>175</w:t>
            </w:r>
            <w:r>
              <w:rPr>
                <w:rFonts w:hint="eastAsia" w:ascii="仿宋_GB2312" w:hAnsi="宋体" w:eastAsia="仿宋_GB2312" w:cs="宋体"/>
                <w:color w:val="000000" w:themeColor="text1"/>
                <w:kern w:val="0"/>
                <w:sz w:val="24"/>
                <w:szCs w:val="24"/>
              </w:rPr>
              <w:t>户、姜堰区</w:t>
            </w:r>
            <w:r>
              <w:rPr>
                <w:rFonts w:hint="eastAsia" w:ascii="Times New Roman" w:hAnsi="Times New Roman" w:eastAsia="仿宋_GB2312" w:cs="宋体"/>
                <w:color w:val="000000" w:themeColor="text1"/>
                <w:kern w:val="0"/>
                <w:sz w:val="24"/>
                <w:szCs w:val="24"/>
              </w:rPr>
              <w:t>500</w:t>
            </w:r>
            <w:r>
              <w:rPr>
                <w:rFonts w:hint="eastAsia" w:ascii="仿宋_GB2312" w:hAnsi="宋体" w:eastAsia="仿宋_GB2312" w:cs="宋体"/>
                <w:color w:val="000000" w:themeColor="text1"/>
                <w:kern w:val="0"/>
                <w:sz w:val="24"/>
                <w:szCs w:val="24"/>
              </w:rPr>
              <w:t>户、医药高新区</w:t>
            </w:r>
            <w:r>
              <w:rPr>
                <w:rFonts w:hint="eastAsia" w:ascii="Times New Roman" w:hAnsi="Times New Roman" w:eastAsia="仿宋_GB2312" w:cs="宋体"/>
                <w:color w:val="000000" w:themeColor="text1"/>
                <w:kern w:val="0"/>
                <w:sz w:val="24"/>
                <w:szCs w:val="24"/>
              </w:rPr>
              <w:t>75</w:t>
            </w:r>
            <w:r>
              <w:rPr>
                <w:rFonts w:hint="eastAsia" w:ascii="仿宋_GB2312" w:hAnsi="宋体" w:eastAsia="仿宋_GB2312" w:cs="宋体"/>
                <w:color w:val="000000" w:themeColor="text1"/>
                <w:kern w:val="0"/>
                <w:sz w:val="24"/>
                <w:szCs w:val="24"/>
              </w:rPr>
              <w:t>户）特殊困难老年人家庭进行适老化改造。</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市区完成适老化改造</w:t>
            </w:r>
            <w:r>
              <w:rPr>
                <w:rFonts w:hint="eastAsia" w:ascii="Times New Roman" w:hAnsi="Times New Roman" w:eastAsia="仿宋_GB2312" w:cs="宋体"/>
                <w:color w:val="000000" w:themeColor="text1"/>
                <w:kern w:val="0"/>
                <w:sz w:val="24"/>
                <w:szCs w:val="24"/>
              </w:rPr>
              <w:t>1084</w:t>
            </w:r>
            <w:r>
              <w:rPr>
                <w:rFonts w:hint="eastAsia" w:ascii="仿宋_GB2312" w:hAnsi="宋体" w:eastAsia="仿宋_GB2312" w:cs="宋体"/>
                <w:color w:val="000000" w:themeColor="text1"/>
                <w:kern w:val="0"/>
                <w:sz w:val="24"/>
                <w:szCs w:val="24"/>
              </w:rPr>
              <w:t>户。</w:t>
            </w:r>
          </w:p>
        </w:tc>
      </w:tr>
      <w:tr>
        <w:tblPrEx>
          <w:tblCellMar>
            <w:top w:w="28" w:type="dxa"/>
            <w:left w:w="57" w:type="dxa"/>
            <w:bottom w:w="28" w:type="dxa"/>
            <w:right w:w="57" w:type="dxa"/>
          </w:tblCellMar>
        </w:tblPrEx>
        <w:trPr>
          <w:trHeight w:val="73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hAnsi="宋体" w:eastAsia="仿宋_GB2312" w:cs="宋体"/>
                <w:color w:val="000000" w:themeColor="text1"/>
                <w:sz w:val="24"/>
                <w:szCs w:val="24"/>
              </w:rPr>
            </w:pPr>
            <w:r>
              <w:rPr>
                <w:rFonts w:hint="eastAsia" w:ascii="Times New Roman" w:hAnsi="Times New Roman" w:eastAsia="仿宋_GB2312" w:cs="宋体"/>
                <w:color w:val="000000" w:themeColor="text1"/>
                <w:kern w:val="0"/>
                <w:sz w:val="24"/>
                <w:szCs w:val="24"/>
              </w:rPr>
              <w:t>11</w:t>
            </w:r>
          </w:p>
        </w:tc>
        <w:tc>
          <w:tcPr>
            <w:tcW w:w="2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全面解决困境儿童“养、治、教、康”问题，实现市区困境儿童权益保障和成长关爱全覆盖。</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扩大困境儿童保障范围，在全省率先将重病重残儿童和低收入家庭儿童纳入保障，实现市区困境儿童权益保障和成长关爱全覆盖。</w:t>
            </w:r>
          </w:p>
        </w:tc>
      </w:tr>
      <w:tr>
        <w:tblPrEx>
          <w:tblCellMar>
            <w:top w:w="28" w:type="dxa"/>
            <w:left w:w="57" w:type="dxa"/>
            <w:bottom w:w="28" w:type="dxa"/>
            <w:right w:w="57" w:type="dxa"/>
          </w:tblCellMar>
        </w:tblPrEx>
        <w:trPr>
          <w:trHeight w:val="73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hAnsi="宋体" w:eastAsia="仿宋_GB2312" w:cs="宋体"/>
                <w:color w:val="000000" w:themeColor="text1"/>
                <w:sz w:val="24"/>
                <w:szCs w:val="24"/>
              </w:rPr>
            </w:pPr>
            <w:r>
              <w:rPr>
                <w:rFonts w:hint="eastAsia" w:ascii="Times New Roman" w:hAnsi="Times New Roman" w:eastAsia="仿宋_GB2312" w:cs="宋体"/>
                <w:color w:val="000000" w:themeColor="text1"/>
                <w:kern w:val="0"/>
                <w:sz w:val="24"/>
                <w:szCs w:val="24"/>
              </w:rPr>
              <w:t>12</w:t>
            </w:r>
          </w:p>
        </w:tc>
        <w:tc>
          <w:tcPr>
            <w:tcW w:w="2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新建、改扩建幼儿园</w:t>
            </w:r>
            <w:r>
              <w:rPr>
                <w:rFonts w:hint="eastAsia" w:ascii="Times New Roman" w:hAnsi="Times New Roman" w:eastAsia="仿宋_GB2312" w:cs="宋体"/>
                <w:color w:val="000000" w:themeColor="text1"/>
                <w:kern w:val="0"/>
                <w:sz w:val="24"/>
                <w:szCs w:val="24"/>
              </w:rPr>
              <w:t>3</w:t>
            </w:r>
            <w:r>
              <w:rPr>
                <w:rFonts w:hint="eastAsia" w:ascii="仿宋_GB2312" w:hAnsi="宋体" w:eastAsia="仿宋_GB2312" w:cs="宋体"/>
                <w:color w:val="000000" w:themeColor="text1"/>
                <w:kern w:val="0"/>
                <w:sz w:val="24"/>
                <w:szCs w:val="24"/>
              </w:rPr>
              <w:t>所、小学</w:t>
            </w:r>
            <w:r>
              <w:rPr>
                <w:rFonts w:hint="eastAsia" w:ascii="Times New Roman" w:hAnsi="Times New Roman" w:eastAsia="仿宋_GB2312" w:cs="宋体"/>
                <w:color w:val="000000" w:themeColor="text1"/>
                <w:kern w:val="0"/>
                <w:sz w:val="24"/>
                <w:szCs w:val="24"/>
              </w:rPr>
              <w:t>4</w:t>
            </w:r>
            <w:r>
              <w:rPr>
                <w:rFonts w:hint="eastAsia" w:ascii="仿宋_GB2312" w:hAnsi="宋体" w:eastAsia="仿宋_GB2312" w:cs="宋体"/>
                <w:color w:val="000000" w:themeColor="text1"/>
                <w:kern w:val="0"/>
                <w:sz w:val="24"/>
                <w:szCs w:val="24"/>
              </w:rPr>
              <w:t>所、初中</w:t>
            </w:r>
            <w:r>
              <w:rPr>
                <w:rFonts w:hint="eastAsia" w:ascii="Times New Roman" w:hAnsi="Times New Roman" w:eastAsia="仿宋_GB2312" w:cs="宋体"/>
                <w:color w:val="000000" w:themeColor="text1"/>
                <w:kern w:val="0"/>
                <w:sz w:val="24"/>
                <w:szCs w:val="24"/>
              </w:rPr>
              <w:t>3</w:t>
            </w:r>
            <w:r>
              <w:rPr>
                <w:rFonts w:hint="eastAsia" w:ascii="仿宋_GB2312" w:hAnsi="宋体" w:eastAsia="仿宋_GB2312" w:cs="宋体"/>
                <w:color w:val="000000" w:themeColor="text1"/>
                <w:kern w:val="0"/>
                <w:sz w:val="24"/>
                <w:szCs w:val="24"/>
              </w:rPr>
              <w:t>所（市直新改扩建小学</w:t>
            </w:r>
            <w:r>
              <w:rPr>
                <w:rFonts w:hint="eastAsia" w:ascii="Times New Roman" w:hAnsi="Times New Roman" w:eastAsia="仿宋_GB2312" w:cs="宋体"/>
                <w:color w:val="000000" w:themeColor="text1"/>
                <w:kern w:val="0"/>
                <w:sz w:val="24"/>
                <w:szCs w:val="24"/>
              </w:rPr>
              <w:t>2</w:t>
            </w:r>
            <w:r>
              <w:rPr>
                <w:rFonts w:hint="eastAsia" w:ascii="仿宋_GB2312" w:hAnsi="宋体" w:eastAsia="仿宋_GB2312" w:cs="宋体"/>
                <w:color w:val="000000" w:themeColor="text1"/>
                <w:kern w:val="0"/>
                <w:sz w:val="24"/>
                <w:szCs w:val="24"/>
              </w:rPr>
              <w:t>所，海陵区改扩建小学</w:t>
            </w:r>
            <w:r>
              <w:rPr>
                <w:rFonts w:hint="eastAsia" w:ascii="Times New Roman" w:hAnsi="Times New Roman" w:eastAsia="仿宋_GB2312" w:cs="宋体"/>
                <w:color w:val="000000" w:themeColor="text1"/>
                <w:kern w:val="0"/>
                <w:sz w:val="24"/>
                <w:szCs w:val="24"/>
              </w:rPr>
              <w:t>1</w:t>
            </w:r>
            <w:r>
              <w:rPr>
                <w:rFonts w:hint="eastAsia" w:ascii="仿宋_GB2312" w:hAnsi="宋体" w:eastAsia="仿宋_GB2312" w:cs="宋体"/>
                <w:color w:val="000000" w:themeColor="text1"/>
                <w:kern w:val="0"/>
                <w:sz w:val="24"/>
                <w:szCs w:val="24"/>
              </w:rPr>
              <w:t>所、初中</w:t>
            </w:r>
            <w:r>
              <w:rPr>
                <w:rFonts w:hint="eastAsia" w:ascii="Times New Roman" w:hAnsi="Times New Roman" w:eastAsia="仿宋_GB2312" w:cs="宋体"/>
                <w:color w:val="000000" w:themeColor="text1"/>
                <w:kern w:val="0"/>
                <w:sz w:val="24"/>
                <w:szCs w:val="24"/>
              </w:rPr>
              <w:t>1</w:t>
            </w:r>
            <w:r>
              <w:rPr>
                <w:rFonts w:hint="eastAsia" w:ascii="仿宋_GB2312" w:hAnsi="宋体" w:eastAsia="仿宋_GB2312" w:cs="宋体"/>
                <w:color w:val="000000" w:themeColor="text1"/>
                <w:kern w:val="0"/>
                <w:sz w:val="24"/>
                <w:szCs w:val="24"/>
              </w:rPr>
              <w:t>所，高港区新改扩建幼儿园</w:t>
            </w:r>
            <w:r>
              <w:rPr>
                <w:rFonts w:hint="eastAsia" w:ascii="Times New Roman" w:hAnsi="Times New Roman" w:eastAsia="仿宋_GB2312" w:cs="宋体"/>
                <w:color w:val="000000" w:themeColor="text1"/>
                <w:kern w:val="0"/>
                <w:sz w:val="24"/>
                <w:szCs w:val="24"/>
              </w:rPr>
              <w:t>2</w:t>
            </w:r>
            <w:r>
              <w:rPr>
                <w:rFonts w:hint="eastAsia" w:ascii="仿宋_GB2312" w:hAnsi="宋体" w:eastAsia="仿宋_GB2312" w:cs="宋体"/>
                <w:color w:val="000000" w:themeColor="text1"/>
                <w:kern w:val="0"/>
                <w:sz w:val="24"/>
                <w:szCs w:val="24"/>
              </w:rPr>
              <w:t>所，姜堰区新建幼儿园</w:t>
            </w:r>
            <w:r>
              <w:rPr>
                <w:rFonts w:hint="eastAsia" w:ascii="Times New Roman" w:hAnsi="Times New Roman" w:eastAsia="仿宋_GB2312" w:cs="宋体"/>
                <w:color w:val="000000" w:themeColor="text1"/>
                <w:kern w:val="0"/>
                <w:sz w:val="24"/>
                <w:szCs w:val="24"/>
              </w:rPr>
              <w:t>1</w:t>
            </w:r>
            <w:r>
              <w:rPr>
                <w:rFonts w:hint="eastAsia" w:ascii="仿宋_GB2312" w:hAnsi="宋体" w:eastAsia="仿宋_GB2312" w:cs="宋体"/>
                <w:color w:val="000000" w:themeColor="text1"/>
                <w:kern w:val="0"/>
                <w:sz w:val="24"/>
                <w:szCs w:val="24"/>
              </w:rPr>
              <w:t>所、改扩建小学</w:t>
            </w:r>
            <w:r>
              <w:rPr>
                <w:rFonts w:hint="eastAsia" w:ascii="Times New Roman" w:hAnsi="Times New Roman" w:eastAsia="仿宋_GB2312" w:cs="宋体"/>
                <w:color w:val="000000" w:themeColor="text1"/>
                <w:kern w:val="0"/>
                <w:sz w:val="24"/>
                <w:szCs w:val="24"/>
              </w:rPr>
              <w:t>1</w:t>
            </w:r>
            <w:r>
              <w:rPr>
                <w:rFonts w:hint="eastAsia" w:ascii="仿宋_GB2312" w:hAnsi="宋体" w:eastAsia="仿宋_GB2312" w:cs="宋体"/>
                <w:color w:val="000000" w:themeColor="text1"/>
                <w:kern w:val="0"/>
                <w:sz w:val="24"/>
                <w:szCs w:val="24"/>
              </w:rPr>
              <w:t>所、改扩建初中</w:t>
            </w:r>
            <w:r>
              <w:rPr>
                <w:rFonts w:hint="eastAsia" w:ascii="Times New Roman" w:hAnsi="Times New Roman" w:eastAsia="仿宋_GB2312" w:cs="宋体"/>
                <w:color w:val="000000" w:themeColor="text1"/>
                <w:kern w:val="0"/>
                <w:sz w:val="24"/>
                <w:szCs w:val="24"/>
              </w:rPr>
              <w:t>2</w:t>
            </w:r>
            <w:r>
              <w:rPr>
                <w:rFonts w:hint="eastAsia" w:ascii="仿宋_GB2312" w:hAnsi="宋体" w:eastAsia="仿宋_GB2312" w:cs="宋体"/>
                <w:color w:val="000000" w:themeColor="text1"/>
                <w:kern w:val="0"/>
                <w:sz w:val="24"/>
                <w:szCs w:val="24"/>
              </w:rPr>
              <w:t>所）。</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淤溪小学、二附中、大伦初中和仲院初中改造项目完工，柴墟幼儿园完成主体工程，胡庄幼儿园主体封顶，城东小学春晖校区正在施工，陈庄幼儿园、凤凰小学南校区和实验学校北校区完成前期工作，即将开工。</w:t>
            </w:r>
          </w:p>
        </w:tc>
      </w:tr>
      <w:tr>
        <w:tblPrEx>
          <w:tblCellMar>
            <w:top w:w="28" w:type="dxa"/>
            <w:left w:w="57" w:type="dxa"/>
            <w:bottom w:w="28" w:type="dxa"/>
            <w:right w:w="57" w:type="dxa"/>
          </w:tblCellMar>
        </w:tblPrEx>
        <w:trPr>
          <w:trHeight w:val="73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hAnsi="宋体" w:eastAsia="仿宋_GB2312" w:cs="宋体"/>
                <w:color w:val="000000" w:themeColor="text1"/>
                <w:sz w:val="24"/>
                <w:szCs w:val="24"/>
              </w:rPr>
            </w:pPr>
            <w:r>
              <w:rPr>
                <w:rFonts w:hint="eastAsia" w:ascii="Times New Roman" w:hAnsi="Times New Roman" w:eastAsia="仿宋_GB2312" w:cs="宋体"/>
                <w:color w:val="000000" w:themeColor="text1"/>
                <w:kern w:val="0"/>
                <w:sz w:val="24"/>
                <w:szCs w:val="24"/>
              </w:rPr>
              <w:t>13</w:t>
            </w:r>
          </w:p>
        </w:tc>
        <w:tc>
          <w:tcPr>
            <w:tcW w:w="2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完成市第五人民医院（脑科医院）和市妇幼保健院地下工程，建成市中医院二期工程主体结构。</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市第五人民医院（脑科医院）正在施工，市妇幼保健院完成招投标，市中医院二期工程完成地下负一、二层结构施工。</w:t>
            </w:r>
          </w:p>
        </w:tc>
      </w:tr>
      <w:tr>
        <w:tblPrEx>
          <w:tblCellMar>
            <w:top w:w="28" w:type="dxa"/>
            <w:left w:w="57" w:type="dxa"/>
            <w:bottom w:w="28" w:type="dxa"/>
            <w:right w:w="57" w:type="dxa"/>
          </w:tblCellMar>
        </w:tblPrEx>
        <w:trPr>
          <w:trHeight w:val="73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hAnsi="宋体" w:eastAsia="仿宋_GB2312" w:cs="宋体"/>
                <w:color w:val="000000" w:themeColor="text1"/>
                <w:sz w:val="24"/>
                <w:szCs w:val="24"/>
              </w:rPr>
            </w:pPr>
            <w:r>
              <w:rPr>
                <w:rFonts w:hint="eastAsia" w:ascii="Times New Roman" w:hAnsi="Times New Roman" w:eastAsia="仿宋_GB2312" w:cs="宋体"/>
                <w:color w:val="000000" w:themeColor="text1"/>
                <w:kern w:val="0"/>
                <w:sz w:val="24"/>
                <w:szCs w:val="24"/>
              </w:rPr>
              <w:t>14</w:t>
            </w:r>
          </w:p>
        </w:tc>
        <w:tc>
          <w:tcPr>
            <w:tcW w:w="2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实施市区基层医疗卫生机构建设提升工程，建成海陵区城南街道、高港区刁铺街道社区卫生服务中心和姜堰区顾高镇中心卫生院（新址）。</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城南街道社区卫生服务中心、刁铺街道社区卫生服务中心、顾高镇中心卫生院（新址）项目完工。</w:t>
            </w:r>
          </w:p>
        </w:tc>
      </w:tr>
      <w:tr>
        <w:tblPrEx>
          <w:tblCellMar>
            <w:top w:w="28" w:type="dxa"/>
            <w:left w:w="57" w:type="dxa"/>
            <w:bottom w:w="28" w:type="dxa"/>
            <w:right w:w="57" w:type="dxa"/>
          </w:tblCellMar>
        </w:tblPrEx>
        <w:trPr>
          <w:trHeight w:val="73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hAnsi="宋体" w:eastAsia="仿宋_GB2312" w:cs="宋体"/>
                <w:color w:val="000000" w:themeColor="text1"/>
                <w:sz w:val="24"/>
                <w:szCs w:val="24"/>
              </w:rPr>
            </w:pPr>
            <w:r>
              <w:rPr>
                <w:rFonts w:hint="eastAsia" w:ascii="Times New Roman" w:hAnsi="Times New Roman" w:eastAsia="仿宋_GB2312" w:cs="宋体"/>
                <w:color w:val="000000" w:themeColor="text1"/>
                <w:kern w:val="0"/>
                <w:sz w:val="24"/>
                <w:szCs w:val="24"/>
              </w:rPr>
              <w:t>15</w:t>
            </w:r>
          </w:p>
        </w:tc>
        <w:tc>
          <w:tcPr>
            <w:tcW w:w="2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建立职工医保补充保险制度，减轻参保人员自费负担。</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pacing w:val="-4"/>
                <w:sz w:val="24"/>
                <w:szCs w:val="24"/>
              </w:rPr>
            </w:pPr>
            <w:r>
              <w:rPr>
                <w:rFonts w:hint="eastAsia" w:ascii="Times New Roman" w:hAnsi="Times New Roman" w:eastAsia="仿宋_GB2312" w:cs="宋体"/>
                <w:color w:val="000000" w:themeColor="text1"/>
                <w:spacing w:val="-4"/>
                <w:kern w:val="0"/>
                <w:sz w:val="24"/>
                <w:szCs w:val="24"/>
              </w:rPr>
              <w:t>7</w:t>
            </w:r>
            <w:r>
              <w:rPr>
                <w:rFonts w:hint="eastAsia" w:ascii="仿宋_GB2312" w:hAnsi="宋体" w:eastAsia="仿宋_GB2312" w:cs="宋体"/>
                <w:color w:val="000000" w:themeColor="text1"/>
                <w:spacing w:val="-4"/>
                <w:kern w:val="0"/>
                <w:sz w:val="24"/>
                <w:szCs w:val="24"/>
              </w:rPr>
              <w:t>月</w:t>
            </w:r>
            <w:r>
              <w:rPr>
                <w:rFonts w:hint="eastAsia" w:ascii="Times New Roman" w:hAnsi="Times New Roman" w:eastAsia="仿宋_GB2312" w:cs="宋体"/>
                <w:color w:val="000000" w:themeColor="text1"/>
                <w:spacing w:val="-4"/>
                <w:kern w:val="0"/>
                <w:sz w:val="24"/>
                <w:szCs w:val="24"/>
              </w:rPr>
              <w:t>1</w:t>
            </w:r>
            <w:r>
              <w:rPr>
                <w:rFonts w:hint="eastAsia" w:ascii="仿宋_GB2312" w:hAnsi="宋体" w:eastAsia="仿宋_GB2312" w:cs="宋体"/>
                <w:color w:val="000000" w:themeColor="text1"/>
                <w:spacing w:val="-4"/>
                <w:kern w:val="0"/>
                <w:sz w:val="24"/>
                <w:szCs w:val="24"/>
              </w:rPr>
              <w:t>日起在市区正式开展职工医保补充保险制度试点，对符合规定的自费费用报销，全年减轻参保人员医疗费用负担</w:t>
            </w:r>
            <w:r>
              <w:rPr>
                <w:rFonts w:hint="eastAsia" w:ascii="Times New Roman" w:hAnsi="Times New Roman" w:eastAsia="仿宋_GB2312" w:cs="宋体"/>
                <w:color w:val="000000" w:themeColor="text1"/>
                <w:spacing w:val="-4"/>
                <w:kern w:val="0"/>
                <w:sz w:val="24"/>
                <w:szCs w:val="24"/>
              </w:rPr>
              <w:t>1856</w:t>
            </w:r>
            <w:r>
              <w:rPr>
                <w:rFonts w:hint="eastAsia" w:ascii="仿宋_GB2312" w:hAnsi="宋体" w:eastAsia="仿宋_GB2312" w:cs="宋体"/>
                <w:color w:val="000000" w:themeColor="text1"/>
                <w:spacing w:val="-4"/>
                <w:kern w:val="0"/>
                <w:sz w:val="24"/>
                <w:szCs w:val="24"/>
              </w:rPr>
              <w:t>万元。</w:t>
            </w:r>
          </w:p>
        </w:tc>
      </w:tr>
      <w:tr>
        <w:tblPrEx>
          <w:tblCellMar>
            <w:top w:w="28" w:type="dxa"/>
            <w:left w:w="57" w:type="dxa"/>
            <w:bottom w:w="28" w:type="dxa"/>
            <w:right w:w="57" w:type="dxa"/>
          </w:tblCellMar>
        </w:tblPrEx>
        <w:trPr>
          <w:trHeight w:val="73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hAnsi="宋体" w:eastAsia="仿宋_GB2312" w:cs="宋体"/>
                <w:color w:val="000000" w:themeColor="text1"/>
                <w:sz w:val="24"/>
                <w:szCs w:val="24"/>
              </w:rPr>
            </w:pPr>
            <w:r>
              <w:rPr>
                <w:rFonts w:hint="eastAsia" w:ascii="Times New Roman" w:hAnsi="Times New Roman" w:eastAsia="仿宋_GB2312" w:cs="宋体"/>
                <w:color w:val="000000" w:themeColor="text1"/>
                <w:kern w:val="0"/>
                <w:sz w:val="24"/>
                <w:szCs w:val="24"/>
              </w:rPr>
              <w:t>16</w:t>
            </w:r>
          </w:p>
        </w:tc>
        <w:tc>
          <w:tcPr>
            <w:tcW w:w="2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完成市体育中心体育馆改造，新增（更新）健身设施</w:t>
            </w:r>
            <w:r>
              <w:rPr>
                <w:rFonts w:hint="eastAsia" w:ascii="Times New Roman" w:hAnsi="Times New Roman" w:eastAsia="仿宋_GB2312" w:cs="宋体"/>
                <w:color w:val="000000" w:themeColor="text1"/>
                <w:kern w:val="0"/>
                <w:sz w:val="24"/>
                <w:szCs w:val="24"/>
              </w:rPr>
              <w:t>60</w:t>
            </w:r>
            <w:r>
              <w:rPr>
                <w:rFonts w:hint="eastAsia" w:ascii="仿宋_GB2312" w:hAnsi="宋体" w:eastAsia="仿宋_GB2312" w:cs="宋体"/>
                <w:color w:val="000000" w:themeColor="text1"/>
                <w:kern w:val="0"/>
                <w:sz w:val="24"/>
                <w:szCs w:val="24"/>
              </w:rPr>
              <w:t>处以上。</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体育馆改造项目完成图纸审查，新增（更新）健身设施</w:t>
            </w:r>
            <w:r>
              <w:rPr>
                <w:rFonts w:hint="eastAsia" w:ascii="Times New Roman" w:hAnsi="Times New Roman" w:eastAsia="仿宋_GB2312" w:cs="宋体"/>
                <w:color w:val="000000" w:themeColor="text1"/>
                <w:kern w:val="0"/>
                <w:sz w:val="24"/>
                <w:szCs w:val="24"/>
              </w:rPr>
              <w:t>60</w:t>
            </w:r>
            <w:r>
              <w:rPr>
                <w:rFonts w:hint="eastAsia" w:ascii="仿宋_GB2312" w:hAnsi="宋体" w:eastAsia="仿宋_GB2312" w:cs="宋体"/>
                <w:color w:val="000000" w:themeColor="text1"/>
                <w:kern w:val="0"/>
                <w:sz w:val="24"/>
                <w:szCs w:val="24"/>
              </w:rPr>
              <w:t>处。</w:t>
            </w:r>
          </w:p>
        </w:tc>
      </w:tr>
      <w:tr>
        <w:tblPrEx>
          <w:tblCellMar>
            <w:top w:w="28" w:type="dxa"/>
            <w:left w:w="57" w:type="dxa"/>
            <w:bottom w:w="28" w:type="dxa"/>
            <w:right w:w="57" w:type="dxa"/>
          </w:tblCellMar>
        </w:tblPrEx>
        <w:trPr>
          <w:trHeight w:val="567" w:hRule="exac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hAnsi="宋体" w:eastAsia="仿宋_GB2312" w:cs="宋体"/>
                <w:color w:val="000000" w:themeColor="text1"/>
                <w:sz w:val="24"/>
                <w:szCs w:val="24"/>
              </w:rPr>
            </w:pPr>
            <w:r>
              <w:rPr>
                <w:rFonts w:hint="eastAsia" w:ascii="Times New Roman" w:hAnsi="Times New Roman" w:eastAsia="仿宋_GB2312" w:cs="宋体"/>
                <w:color w:val="000000" w:themeColor="text1"/>
                <w:kern w:val="0"/>
                <w:sz w:val="24"/>
                <w:szCs w:val="24"/>
              </w:rPr>
              <w:t>17</w:t>
            </w:r>
          </w:p>
        </w:tc>
        <w:tc>
          <w:tcPr>
            <w:tcW w:w="2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建成凤城河内环游步道。</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凤城河内环游步道建成投用。</w:t>
            </w:r>
          </w:p>
        </w:tc>
      </w:tr>
      <w:tr>
        <w:tblPrEx>
          <w:tblCellMar>
            <w:top w:w="28" w:type="dxa"/>
            <w:left w:w="57" w:type="dxa"/>
            <w:bottom w:w="28" w:type="dxa"/>
            <w:right w:w="57" w:type="dxa"/>
          </w:tblCellMar>
        </w:tblPrEx>
        <w:trPr>
          <w:trHeight w:val="73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hAnsi="宋体" w:eastAsia="仿宋_GB2312" w:cs="宋体"/>
                <w:color w:val="000000" w:themeColor="text1"/>
                <w:sz w:val="24"/>
                <w:szCs w:val="24"/>
              </w:rPr>
            </w:pPr>
            <w:r>
              <w:rPr>
                <w:rFonts w:hint="eastAsia" w:ascii="Times New Roman" w:hAnsi="Times New Roman" w:eastAsia="仿宋_GB2312" w:cs="宋体"/>
                <w:color w:val="000000" w:themeColor="text1"/>
                <w:kern w:val="0"/>
                <w:sz w:val="24"/>
                <w:szCs w:val="24"/>
              </w:rPr>
              <w:t>18</w:t>
            </w:r>
          </w:p>
        </w:tc>
        <w:tc>
          <w:tcPr>
            <w:tcW w:w="2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改造老旧小区</w:t>
            </w:r>
            <w:r>
              <w:rPr>
                <w:rFonts w:hint="eastAsia" w:ascii="Times New Roman" w:hAnsi="Times New Roman" w:eastAsia="仿宋_GB2312" w:cs="宋体"/>
                <w:color w:val="000000" w:themeColor="text1"/>
                <w:kern w:val="0"/>
                <w:sz w:val="24"/>
                <w:szCs w:val="24"/>
              </w:rPr>
              <w:t>30</w:t>
            </w:r>
            <w:r>
              <w:rPr>
                <w:rFonts w:hint="eastAsia" w:ascii="仿宋_GB2312" w:hAnsi="宋体" w:eastAsia="仿宋_GB2312" w:cs="宋体"/>
                <w:color w:val="000000" w:themeColor="text1"/>
                <w:kern w:val="0"/>
                <w:sz w:val="24"/>
                <w:szCs w:val="24"/>
              </w:rPr>
              <w:t>个（海陵区</w:t>
            </w:r>
            <w:r>
              <w:rPr>
                <w:rFonts w:hint="eastAsia" w:ascii="Times New Roman" w:hAnsi="Times New Roman" w:eastAsia="仿宋_GB2312" w:cs="宋体"/>
                <w:color w:val="000000" w:themeColor="text1"/>
                <w:kern w:val="0"/>
                <w:sz w:val="24"/>
                <w:szCs w:val="24"/>
              </w:rPr>
              <w:t>20</w:t>
            </w:r>
            <w:r>
              <w:rPr>
                <w:rFonts w:hint="eastAsia" w:ascii="仿宋_GB2312" w:hAnsi="宋体" w:eastAsia="仿宋_GB2312" w:cs="宋体"/>
                <w:color w:val="000000" w:themeColor="text1"/>
                <w:kern w:val="0"/>
                <w:sz w:val="24"/>
                <w:szCs w:val="24"/>
              </w:rPr>
              <w:t>个、高港区</w:t>
            </w:r>
            <w:r>
              <w:rPr>
                <w:rFonts w:hint="eastAsia" w:ascii="Times New Roman" w:hAnsi="Times New Roman" w:eastAsia="仿宋_GB2312" w:cs="宋体"/>
                <w:color w:val="000000" w:themeColor="text1"/>
                <w:kern w:val="0"/>
                <w:sz w:val="24"/>
                <w:szCs w:val="24"/>
              </w:rPr>
              <w:t>3</w:t>
            </w:r>
            <w:r>
              <w:rPr>
                <w:rFonts w:hint="eastAsia" w:ascii="仿宋_GB2312" w:hAnsi="宋体" w:eastAsia="仿宋_GB2312" w:cs="宋体"/>
                <w:color w:val="000000" w:themeColor="text1"/>
                <w:kern w:val="0"/>
                <w:sz w:val="24"/>
                <w:szCs w:val="24"/>
              </w:rPr>
              <w:t>个、姜堰区</w:t>
            </w:r>
            <w:r>
              <w:rPr>
                <w:rFonts w:hint="eastAsia" w:ascii="Times New Roman" w:hAnsi="Times New Roman" w:eastAsia="仿宋_GB2312" w:cs="宋体"/>
                <w:color w:val="000000" w:themeColor="text1"/>
                <w:kern w:val="0"/>
                <w:sz w:val="24"/>
                <w:szCs w:val="24"/>
              </w:rPr>
              <w:t>5</w:t>
            </w:r>
            <w:r>
              <w:rPr>
                <w:rFonts w:hint="eastAsia" w:ascii="仿宋_GB2312" w:hAnsi="宋体" w:eastAsia="仿宋_GB2312" w:cs="宋体"/>
                <w:color w:val="000000" w:themeColor="text1"/>
                <w:kern w:val="0"/>
                <w:sz w:val="24"/>
                <w:szCs w:val="24"/>
              </w:rPr>
              <w:t>个、医药高新区</w:t>
            </w:r>
            <w:r>
              <w:rPr>
                <w:rFonts w:hint="eastAsia" w:ascii="Times New Roman" w:hAnsi="Times New Roman" w:eastAsia="仿宋_GB2312" w:cs="宋体"/>
                <w:color w:val="000000" w:themeColor="text1"/>
                <w:kern w:val="0"/>
                <w:sz w:val="24"/>
                <w:szCs w:val="24"/>
              </w:rPr>
              <w:t>2</w:t>
            </w:r>
            <w:r>
              <w:rPr>
                <w:rFonts w:hint="eastAsia" w:ascii="仿宋_GB2312" w:hAnsi="宋体" w:eastAsia="仿宋_GB2312" w:cs="宋体"/>
                <w:color w:val="000000" w:themeColor="text1"/>
                <w:kern w:val="0"/>
                <w:sz w:val="24"/>
                <w:szCs w:val="24"/>
              </w:rPr>
              <w:t>个），同步实施雨污分流工程。</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完成老旧小区综合整治</w:t>
            </w:r>
            <w:r>
              <w:rPr>
                <w:rFonts w:hint="eastAsia" w:ascii="Times New Roman" w:hAnsi="Times New Roman" w:eastAsia="仿宋_GB2312" w:cs="宋体"/>
                <w:color w:val="000000" w:themeColor="text1"/>
                <w:kern w:val="0"/>
                <w:sz w:val="24"/>
                <w:szCs w:val="24"/>
              </w:rPr>
              <w:t>46</w:t>
            </w:r>
            <w:r>
              <w:rPr>
                <w:rFonts w:hint="eastAsia" w:ascii="仿宋_GB2312" w:hAnsi="宋体" w:eastAsia="仿宋_GB2312" w:cs="宋体"/>
                <w:color w:val="000000" w:themeColor="text1"/>
                <w:kern w:val="0"/>
                <w:sz w:val="24"/>
                <w:szCs w:val="24"/>
              </w:rPr>
              <w:t>个。</w:t>
            </w:r>
          </w:p>
        </w:tc>
      </w:tr>
      <w:tr>
        <w:tblPrEx>
          <w:tblCellMar>
            <w:top w:w="28" w:type="dxa"/>
            <w:left w:w="57" w:type="dxa"/>
            <w:bottom w:w="28" w:type="dxa"/>
            <w:right w:w="57" w:type="dxa"/>
          </w:tblCellMar>
        </w:tblPrEx>
        <w:trPr>
          <w:trHeight w:val="73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hAnsi="宋体" w:eastAsia="仿宋_GB2312" w:cs="宋体"/>
                <w:color w:val="000000" w:themeColor="text1"/>
                <w:sz w:val="24"/>
                <w:szCs w:val="24"/>
              </w:rPr>
            </w:pPr>
            <w:r>
              <w:rPr>
                <w:rFonts w:hint="eastAsia" w:ascii="Times New Roman" w:hAnsi="Times New Roman" w:eastAsia="仿宋_GB2312" w:cs="宋体"/>
                <w:color w:val="000000" w:themeColor="text1"/>
                <w:kern w:val="0"/>
                <w:sz w:val="24"/>
                <w:szCs w:val="24"/>
              </w:rPr>
              <w:t>19</w:t>
            </w:r>
          </w:p>
        </w:tc>
        <w:tc>
          <w:tcPr>
            <w:tcW w:w="2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开工建设周山河新城生活垃圾中转站，对市区</w:t>
            </w:r>
            <w:r>
              <w:rPr>
                <w:rFonts w:hint="eastAsia" w:ascii="Times New Roman" w:hAnsi="Times New Roman" w:eastAsia="仿宋_GB2312" w:cs="宋体"/>
                <w:color w:val="000000" w:themeColor="text1"/>
                <w:kern w:val="0"/>
                <w:sz w:val="24"/>
                <w:szCs w:val="24"/>
              </w:rPr>
              <w:t>29</w:t>
            </w:r>
            <w:r>
              <w:rPr>
                <w:rFonts w:hint="eastAsia" w:ascii="仿宋_GB2312" w:hAnsi="宋体" w:eastAsia="仿宋_GB2312" w:cs="宋体"/>
                <w:color w:val="000000" w:themeColor="text1"/>
                <w:kern w:val="0"/>
                <w:sz w:val="24"/>
                <w:szCs w:val="24"/>
              </w:rPr>
              <w:t>座公厕实施管网改造。</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周山河垃圾中转站项目调整，正在重新选址。公厕管网改造项目完工。</w:t>
            </w:r>
          </w:p>
        </w:tc>
      </w:tr>
      <w:tr>
        <w:tblPrEx>
          <w:tblCellMar>
            <w:top w:w="28" w:type="dxa"/>
            <w:left w:w="57" w:type="dxa"/>
            <w:bottom w:w="28" w:type="dxa"/>
            <w:right w:w="57" w:type="dxa"/>
          </w:tblCellMar>
        </w:tblPrEx>
        <w:trPr>
          <w:trHeight w:val="73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hAnsi="宋体" w:eastAsia="仿宋_GB2312" w:cs="宋体"/>
                <w:color w:val="000000" w:themeColor="text1"/>
                <w:sz w:val="24"/>
                <w:szCs w:val="24"/>
              </w:rPr>
            </w:pPr>
            <w:r>
              <w:rPr>
                <w:rFonts w:hint="eastAsia" w:ascii="Times New Roman" w:hAnsi="Times New Roman" w:eastAsia="仿宋_GB2312" w:cs="宋体"/>
                <w:color w:val="000000" w:themeColor="text1"/>
                <w:kern w:val="0"/>
                <w:sz w:val="24"/>
                <w:szCs w:val="24"/>
              </w:rPr>
              <w:t>20</w:t>
            </w:r>
          </w:p>
        </w:tc>
        <w:tc>
          <w:tcPr>
            <w:tcW w:w="2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完成运河路绿化、海军东路绿带、西南城河风光带（西仓桥南侧）、西城河照明亮化、永定路西段景观绿化提升工程。</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运河路绿化、海军东路绿带、西南城河风光带（西仓桥南侧）、西城河照明亮化、永定路西段景观绿化提升工程项目完工。</w:t>
            </w:r>
          </w:p>
        </w:tc>
      </w:tr>
      <w:tr>
        <w:tblPrEx>
          <w:tblCellMar>
            <w:top w:w="28" w:type="dxa"/>
            <w:left w:w="57" w:type="dxa"/>
            <w:bottom w:w="28" w:type="dxa"/>
            <w:right w:w="57" w:type="dxa"/>
          </w:tblCellMar>
        </w:tblPrEx>
        <w:trPr>
          <w:trHeight w:val="567" w:hRule="exac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hAnsi="宋体" w:eastAsia="仿宋_GB2312" w:cs="宋体"/>
                <w:color w:val="000000" w:themeColor="text1"/>
                <w:sz w:val="24"/>
                <w:szCs w:val="24"/>
              </w:rPr>
            </w:pPr>
            <w:r>
              <w:rPr>
                <w:rFonts w:hint="eastAsia" w:ascii="Times New Roman" w:hAnsi="Times New Roman" w:eastAsia="仿宋_GB2312" w:cs="宋体"/>
                <w:color w:val="000000" w:themeColor="text1"/>
                <w:kern w:val="0"/>
                <w:sz w:val="24"/>
                <w:szCs w:val="24"/>
              </w:rPr>
              <w:t>21</w:t>
            </w:r>
          </w:p>
        </w:tc>
        <w:tc>
          <w:tcPr>
            <w:tcW w:w="2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建成投运二水厂、三水厂自来水深度处理工程。</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二水厂、三水厂自来水深度处理工程完工，并投入试运行。</w:t>
            </w:r>
          </w:p>
        </w:tc>
      </w:tr>
      <w:tr>
        <w:tblPrEx>
          <w:tblCellMar>
            <w:top w:w="28" w:type="dxa"/>
            <w:left w:w="57" w:type="dxa"/>
            <w:bottom w:w="28" w:type="dxa"/>
            <w:right w:w="57" w:type="dxa"/>
          </w:tblCellMar>
        </w:tblPrEx>
        <w:trPr>
          <w:trHeight w:val="1421"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hAnsi="宋体" w:eastAsia="仿宋_GB2312" w:cs="宋体"/>
                <w:color w:val="000000" w:themeColor="text1"/>
                <w:sz w:val="24"/>
                <w:szCs w:val="24"/>
              </w:rPr>
            </w:pPr>
            <w:r>
              <w:rPr>
                <w:rFonts w:hint="eastAsia" w:ascii="Times New Roman" w:hAnsi="Times New Roman" w:eastAsia="仿宋_GB2312" w:cs="宋体"/>
                <w:color w:val="000000" w:themeColor="text1"/>
                <w:kern w:val="0"/>
                <w:sz w:val="24"/>
                <w:szCs w:val="24"/>
              </w:rPr>
              <w:t>22</w:t>
            </w:r>
          </w:p>
        </w:tc>
        <w:tc>
          <w:tcPr>
            <w:tcW w:w="2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实施食品安全阳光系列惠民工程，建成标准化农村（社区）集体聚餐“阳光宴会厅”</w:t>
            </w:r>
            <w:r>
              <w:rPr>
                <w:rFonts w:hint="eastAsia" w:ascii="Times New Roman" w:hAnsi="Times New Roman" w:eastAsia="仿宋_GB2312" w:cs="宋体"/>
                <w:color w:val="000000" w:themeColor="text1"/>
                <w:kern w:val="0"/>
                <w:sz w:val="24"/>
                <w:szCs w:val="24"/>
              </w:rPr>
              <w:t>40</w:t>
            </w:r>
            <w:r>
              <w:rPr>
                <w:rFonts w:hint="eastAsia" w:ascii="仿宋_GB2312" w:hAnsi="宋体" w:eastAsia="仿宋_GB2312" w:cs="宋体"/>
                <w:color w:val="000000" w:themeColor="text1"/>
                <w:kern w:val="0"/>
                <w:sz w:val="24"/>
                <w:szCs w:val="24"/>
              </w:rPr>
              <w:t>家、“阳光菜篮子”农贸市场</w:t>
            </w:r>
            <w:r>
              <w:rPr>
                <w:rFonts w:hint="eastAsia" w:ascii="Times New Roman" w:hAnsi="Times New Roman" w:eastAsia="仿宋_GB2312" w:cs="宋体"/>
                <w:color w:val="000000" w:themeColor="text1"/>
                <w:kern w:val="0"/>
                <w:sz w:val="24"/>
                <w:szCs w:val="24"/>
              </w:rPr>
              <w:t>25</w:t>
            </w:r>
            <w:r>
              <w:rPr>
                <w:rFonts w:hint="eastAsia" w:ascii="仿宋_GB2312" w:hAnsi="宋体" w:eastAsia="仿宋_GB2312" w:cs="宋体"/>
                <w:color w:val="000000" w:themeColor="text1"/>
                <w:kern w:val="0"/>
                <w:sz w:val="24"/>
                <w:szCs w:val="24"/>
              </w:rPr>
              <w:t>家、“阳光食堂（厨房）”</w:t>
            </w:r>
            <w:r>
              <w:rPr>
                <w:rFonts w:hint="eastAsia" w:ascii="Times New Roman" w:hAnsi="Times New Roman" w:eastAsia="仿宋_GB2312" w:cs="宋体"/>
                <w:color w:val="000000" w:themeColor="text1"/>
                <w:kern w:val="0"/>
                <w:sz w:val="24"/>
                <w:szCs w:val="24"/>
              </w:rPr>
              <w:t>700</w:t>
            </w:r>
            <w:r>
              <w:rPr>
                <w:rFonts w:hint="eastAsia" w:ascii="仿宋_GB2312" w:hAnsi="宋体" w:eastAsia="仿宋_GB2312" w:cs="宋体"/>
                <w:color w:val="000000" w:themeColor="text1"/>
                <w:kern w:val="0"/>
                <w:sz w:val="24"/>
                <w:szCs w:val="24"/>
              </w:rPr>
              <w:t>家，开展食品安全抽检</w:t>
            </w:r>
            <w:r>
              <w:rPr>
                <w:rFonts w:hint="eastAsia" w:ascii="Times New Roman" w:hAnsi="Times New Roman" w:eastAsia="仿宋_GB2312" w:cs="宋体"/>
                <w:color w:val="000000" w:themeColor="text1"/>
                <w:kern w:val="0"/>
                <w:sz w:val="24"/>
                <w:szCs w:val="24"/>
              </w:rPr>
              <w:t>5000</w:t>
            </w:r>
            <w:r>
              <w:rPr>
                <w:rFonts w:hint="eastAsia" w:ascii="仿宋_GB2312" w:hAnsi="宋体" w:eastAsia="仿宋_GB2312" w:cs="宋体"/>
                <w:color w:val="000000" w:themeColor="text1"/>
                <w:kern w:val="0"/>
                <w:sz w:val="24"/>
                <w:szCs w:val="24"/>
              </w:rPr>
              <w:t>批次。</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建成“阳光宴会厅”</w:t>
            </w:r>
            <w:r>
              <w:rPr>
                <w:rFonts w:hint="eastAsia" w:ascii="Times New Roman" w:hAnsi="Times New Roman" w:eastAsia="仿宋_GB2312" w:cs="宋体"/>
                <w:color w:val="000000" w:themeColor="text1"/>
                <w:kern w:val="0"/>
                <w:sz w:val="24"/>
                <w:szCs w:val="24"/>
              </w:rPr>
              <w:t>49</w:t>
            </w:r>
            <w:r>
              <w:rPr>
                <w:rFonts w:hint="eastAsia" w:ascii="仿宋_GB2312" w:hAnsi="宋体" w:eastAsia="仿宋_GB2312" w:cs="宋体"/>
                <w:color w:val="000000" w:themeColor="text1"/>
                <w:kern w:val="0"/>
                <w:sz w:val="24"/>
                <w:szCs w:val="24"/>
              </w:rPr>
              <w:t>家、“阳光菜篮子”智慧农贸市场</w:t>
            </w:r>
            <w:r>
              <w:rPr>
                <w:rFonts w:hint="eastAsia" w:ascii="Times New Roman" w:hAnsi="Times New Roman" w:eastAsia="仿宋_GB2312" w:cs="宋体"/>
                <w:color w:val="000000" w:themeColor="text1"/>
                <w:kern w:val="0"/>
                <w:sz w:val="24"/>
                <w:szCs w:val="24"/>
              </w:rPr>
              <w:t>26</w:t>
            </w:r>
            <w:r>
              <w:rPr>
                <w:rFonts w:hint="eastAsia" w:ascii="仿宋_GB2312" w:hAnsi="宋体" w:eastAsia="仿宋_GB2312" w:cs="宋体"/>
                <w:color w:val="000000" w:themeColor="text1"/>
                <w:kern w:val="0"/>
                <w:sz w:val="24"/>
                <w:szCs w:val="24"/>
              </w:rPr>
              <w:t>家、“阳光食堂（厨房）”</w:t>
            </w:r>
            <w:r>
              <w:rPr>
                <w:rFonts w:hint="eastAsia" w:ascii="Times New Roman" w:hAnsi="Times New Roman" w:eastAsia="仿宋_GB2312" w:cs="宋体"/>
                <w:color w:val="000000" w:themeColor="text1"/>
                <w:kern w:val="0"/>
                <w:sz w:val="24"/>
                <w:szCs w:val="24"/>
              </w:rPr>
              <w:t>1103</w:t>
            </w:r>
            <w:r>
              <w:rPr>
                <w:rFonts w:hint="eastAsia" w:ascii="仿宋_GB2312" w:hAnsi="宋体" w:eastAsia="仿宋_GB2312" w:cs="宋体"/>
                <w:color w:val="000000" w:themeColor="text1"/>
                <w:kern w:val="0"/>
                <w:sz w:val="24"/>
                <w:szCs w:val="24"/>
              </w:rPr>
              <w:t>家，开展食品安全抽检</w:t>
            </w:r>
            <w:r>
              <w:rPr>
                <w:rFonts w:hint="eastAsia" w:ascii="Times New Roman" w:hAnsi="Times New Roman" w:eastAsia="仿宋_GB2312" w:cs="宋体"/>
                <w:color w:val="000000" w:themeColor="text1"/>
                <w:kern w:val="0"/>
                <w:sz w:val="24"/>
                <w:szCs w:val="24"/>
              </w:rPr>
              <w:t>5426</w:t>
            </w:r>
            <w:r>
              <w:rPr>
                <w:rFonts w:hint="eastAsia" w:ascii="仿宋_GB2312" w:hAnsi="宋体" w:eastAsia="仿宋_GB2312" w:cs="宋体"/>
                <w:color w:val="000000" w:themeColor="text1"/>
                <w:kern w:val="0"/>
                <w:sz w:val="24"/>
                <w:szCs w:val="24"/>
              </w:rPr>
              <w:t>批次。</w:t>
            </w:r>
          </w:p>
        </w:tc>
      </w:tr>
      <w:tr>
        <w:tblPrEx>
          <w:tblCellMar>
            <w:top w:w="28" w:type="dxa"/>
            <w:left w:w="57" w:type="dxa"/>
            <w:bottom w:w="28" w:type="dxa"/>
            <w:right w:w="57" w:type="dxa"/>
          </w:tblCellMar>
        </w:tblPrEx>
        <w:trPr>
          <w:trHeight w:val="1214"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hAnsi="宋体" w:eastAsia="仿宋_GB2312" w:cs="宋体"/>
                <w:color w:val="000000" w:themeColor="text1"/>
                <w:sz w:val="24"/>
                <w:szCs w:val="24"/>
              </w:rPr>
            </w:pPr>
            <w:r>
              <w:rPr>
                <w:rFonts w:hint="eastAsia" w:ascii="Times New Roman" w:hAnsi="Times New Roman" w:eastAsia="仿宋_GB2312" w:cs="宋体"/>
                <w:color w:val="000000" w:themeColor="text1"/>
                <w:kern w:val="0"/>
                <w:sz w:val="24"/>
                <w:szCs w:val="24"/>
              </w:rPr>
              <w:t>23</w:t>
            </w:r>
          </w:p>
        </w:tc>
        <w:tc>
          <w:tcPr>
            <w:tcW w:w="20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建成市、区两级</w:t>
            </w:r>
            <w:r>
              <w:rPr>
                <w:rFonts w:hint="eastAsia" w:ascii="Times New Roman" w:hAnsi="Times New Roman" w:eastAsia="仿宋_GB2312" w:cs="宋体"/>
                <w:color w:val="000000" w:themeColor="text1"/>
                <w:kern w:val="0"/>
                <w:sz w:val="24"/>
                <w:szCs w:val="24"/>
              </w:rPr>
              <w:t>24</w:t>
            </w:r>
            <w:r>
              <w:rPr>
                <w:rFonts w:hint="eastAsia" w:ascii="仿宋_GB2312" w:hAnsi="宋体" w:eastAsia="仿宋_GB2312" w:cs="宋体"/>
                <w:color w:val="000000" w:themeColor="text1"/>
                <w:kern w:val="0"/>
                <w:sz w:val="24"/>
                <w:szCs w:val="24"/>
              </w:rPr>
              <w:t>小时公安综合办证自助服务区，为市民提供全年不间断、</w:t>
            </w:r>
            <w:r>
              <w:rPr>
                <w:rFonts w:hint="eastAsia" w:ascii="Times New Roman" w:hAnsi="Times New Roman" w:eastAsia="仿宋_GB2312" w:cs="宋体"/>
                <w:color w:val="000000" w:themeColor="text1"/>
                <w:kern w:val="0"/>
                <w:sz w:val="24"/>
                <w:szCs w:val="24"/>
              </w:rPr>
              <w:t>24</w:t>
            </w:r>
            <w:r>
              <w:rPr>
                <w:rFonts w:hint="eastAsia" w:ascii="仿宋_GB2312" w:hAnsi="宋体" w:eastAsia="仿宋_GB2312" w:cs="宋体"/>
                <w:color w:val="000000" w:themeColor="text1"/>
                <w:kern w:val="0"/>
                <w:sz w:val="24"/>
                <w:szCs w:val="24"/>
              </w:rPr>
              <w:t>小时全天候公安行政服务。</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color w:val="000000" w:themeColor="text1"/>
                <w:sz w:val="24"/>
                <w:szCs w:val="24"/>
              </w:rPr>
            </w:pPr>
            <w:r>
              <w:rPr>
                <w:rFonts w:hint="eastAsia" w:ascii="仿宋_GB2312" w:hAnsi="宋体" w:eastAsia="仿宋_GB2312" w:cs="宋体"/>
                <w:color w:val="000000" w:themeColor="text1"/>
                <w:kern w:val="0"/>
                <w:sz w:val="24"/>
                <w:szCs w:val="24"/>
              </w:rPr>
              <w:t>市、区两级建成</w:t>
            </w:r>
            <w:r>
              <w:rPr>
                <w:rFonts w:hint="eastAsia" w:ascii="Times New Roman" w:hAnsi="Times New Roman" w:eastAsia="仿宋_GB2312" w:cs="宋体"/>
                <w:color w:val="000000" w:themeColor="text1"/>
                <w:kern w:val="0"/>
                <w:sz w:val="24"/>
                <w:szCs w:val="24"/>
              </w:rPr>
              <w:t>24</w:t>
            </w:r>
            <w:r>
              <w:rPr>
                <w:rFonts w:hint="eastAsia" w:ascii="仿宋_GB2312" w:hAnsi="宋体" w:eastAsia="仿宋_GB2312" w:cs="宋体"/>
                <w:color w:val="000000" w:themeColor="text1"/>
                <w:kern w:val="0"/>
                <w:sz w:val="24"/>
                <w:szCs w:val="24"/>
              </w:rPr>
              <w:t>小时公安综合办证自助服务区</w:t>
            </w:r>
            <w:r>
              <w:rPr>
                <w:rFonts w:hint="eastAsia" w:ascii="Times New Roman" w:hAnsi="Times New Roman" w:eastAsia="仿宋_GB2312" w:cs="宋体"/>
                <w:color w:val="000000" w:themeColor="text1"/>
                <w:kern w:val="0"/>
                <w:sz w:val="24"/>
                <w:szCs w:val="24"/>
              </w:rPr>
              <w:t>5</w:t>
            </w:r>
            <w:r>
              <w:rPr>
                <w:rFonts w:hint="eastAsia" w:ascii="仿宋_GB2312" w:hAnsi="宋体" w:eastAsia="仿宋_GB2312" w:cs="宋体"/>
                <w:color w:val="000000" w:themeColor="text1"/>
                <w:kern w:val="0"/>
                <w:sz w:val="24"/>
                <w:szCs w:val="24"/>
              </w:rPr>
              <w:t>家，并常态化运行。</w:t>
            </w:r>
          </w:p>
        </w:tc>
      </w:tr>
    </w:tbl>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sectPr>
          <w:footerReference r:id="rId6" w:type="default"/>
          <w:footerReference r:id="rId7" w:type="even"/>
          <w:pgSz w:w="16838" w:h="11906" w:orient="landscape"/>
          <w:pgMar w:top="1587" w:right="2098" w:bottom="1474" w:left="1985" w:header="851" w:footer="1361" w:gutter="0"/>
          <w:cols w:space="0" w:num="1"/>
          <w:docGrid w:type="lines" w:linePitch="315" w:charSpace="0"/>
        </w:sect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overflowPunct w:val="0"/>
        <w:spacing w:line="100" w:lineRule="exact"/>
        <w:rPr>
          <w:rFonts w:ascii="仿宋_GB2312" w:hAnsi="Times New Roman" w:eastAsia="仿宋_GB2312" w:cs="Times New Roman"/>
          <w:color w:val="000000" w:themeColor="text1"/>
          <w:sz w:val="32"/>
          <w:szCs w:val="32"/>
        </w:rPr>
      </w:pPr>
    </w:p>
    <w:p>
      <w:pPr>
        <w:spacing w:line="320" w:lineRule="exact"/>
        <w:ind w:left="-105" w:leftChars="-50" w:right="-105" w:rightChars="-50"/>
        <w:jc w:val="center"/>
        <w:rPr>
          <w:szCs w:val="32"/>
        </w:rPr>
      </w:pPr>
    </w:p>
    <w:p>
      <w:pPr>
        <w:spacing w:line="240" w:lineRule="exact"/>
        <w:ind w:left="-105" w:leftChars="-50" w:right="-105" w:rightChars="-50"/>
        <w:jc w:val="center"/>
        <w:rPr>
          <w:sz w:val="30"/>
          <w:szCs w:val="30"/>
        </w:rPr>
      </w:pPr>
      <w:r>
        <w:rPr>
          <w:rFonts w:hint="eastAsia"/>
          <w:sz w:val="30"/>
          <w:szCs w:val="30"/>
        </w:rPr>
        <w:t>─────────────────────────────</w:t>
      </w:r>
    </w:p>
    <w:p>
      <w:pPr>
        <w:spacing w:afterLines="20" w:line="360" w:lineRule="exact"/>
        <w:ind w:left="-105" w:leftChars="-50" w:right="-105" w:rightChars="-50"/>
        <w:jc w:val="center"/>
        <w:rPr>
          <w:rFonts w:ascii="仿宋_GB2312" w:eastAsia="仿宋_GB2312"/>
          <w:sz w:val="32"/>
          <w:szCs w:val="32"/>
        </w:rPr>
      </w:pPr>
      <w:r>
        <w:rPr>
          <w:rFonts w:hint="eastAsia" w:ascii="仿宋_GB2312" w:eastAsia="仿宋_GB2312"/>
          <w:sz w:val="32"/>
          <w:szCs w:val="32"/>
        </w:rPr>
        <w:t>泰州市五届人大五次会议秘书处            共印</w:t>
      </w:r>
      <w:r>
        <w:rPr>
          <w:rFonts w:hint="eastAsia" w:ascii="Times New Roman" w:hAnsi="Times New Roman" w:eastAsia="仿宋_GB2312" w:cs="Times New Roman"/>
          <w:sz w:val="32"/>
          <w:szCs w:val="32"/>
        </w:rPr>
        <w:t>1300</w:t>
      </w:r>
      <w:r>
        <w:rPr>
          <w:rFonts w:hint="eastAsia" w:ascii="仿宋_GB2312" w:eastAsia="仿宋_GB2312"/>
          <w:sz w:val="32"/>
          <w:szCs w:val="32"/>
        </w:rPr>
        <w:t>份</w:t>
      </w:r>
    </w:p>
    <w:p>
      <w:pPr>
        <w:spacing w:line="240" w:lineRule="exact"/>
        <w:ind w:left="-105" w:leftChars="-50" w:right="-105" w:rightChars="-50"/>
        <w:jc w:val="center"/>
        <w:rPr>
          <w:sz w:val="30"/>
          <w:szCs w:val="30"/>
        </w:rPr>
      </w:pPr>
      <w:r>
        <w:rPr>
          <w:rFonts w:hint="eastAsia"/>
          <w:sz w:val="30"/>
          <w:szCs w:val="30"/>
        </w:rPr>
        <w:t>─────────────────────────────</w:t>
      </w:r>
    </w:p>
    <w:sectPr>
      <w:footerReference r:id="rId8" w:type="even"/>
      <w:pgSz w:w="11906" w:h="16838"/>
      <w:pgMar w:top="2098" w:right="1474" w:bottom="1985" w:left="1587" w:header="851" w:footer="136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仿宋_GB2312" w:eastAsia="仿宋_GB2312"/>
      </w:rPr>
    </w:pPr>
    <w:r>
      <w:rPr>
        <w:rStyle w:val="11"/>
        <w:rFonts w:hint="eastAsia" w:ascii="仿宋_GB2312" w:hAnsi="宋体" w:eastAsia="仿宋_GB2312"/>
        <w:spacing w:val="20"/>
        <w:sz w:val="28"/>
        <w:szCs w:val="28"/>
      </w:rPr>
      <w:t xml:space="preserve">— </w:t>
    </w:r>
    <w:r>
      <w:rPr>
        <w:rStyle w:val="11"/>
        <w:rFonts w:ascii="Times New Roman" w:hAnsi="Times New Roman" w:eastAsia="仿宋_GB2312" w:cs="Times New Roman"/>
        <w:spacing w:val="20"/>
        <w:sz w:val="28"/>
        <w:szCs w:val="28"/>
      </w:rPr>
      <w:fldChar w:fldCharType="begin"/>
    </w:r>
    <w:r>
      <w:rPr>
        <w:rStyle w:val="11"/>
        <w:rFonts w:ascii="Times New Roman" w:hAnsi="Times New Roman" w:eastAsia="仿宋_GB2312" w:cs="Times New Roman"/>
        <w:spacing w:val="20"/>
        <w:sz w:val="28"/>
        <w:szCs w:val="28"/>
      </w:rPr>
      <w:instrText xml:space="preserve">PAGE  </w:instrText>
    </w:r>
    <w:r>
      <w:rPr>
        <w:rStyle w:val="11"/>
        <w:rFonts w:ascii="Times New Roman" w:hAnsi="Times New Roman" w:eastAsia="仿宋_GB2312" w:cs="Times New Roman"/>
        <w:spacing w:val="20"/>
        <w:sz w:val="28"/>
        <w:szCs w:val="28"/>
      </w:rPr>
      <w:fldChar w:fldCharType="separate"/>
    </w:r>
    <w:r>
      <w:rPr>
        <w:rStyle w:val="11"/>
        <w:rFonts w:ascii="Times New Roman" w:hAnsi="Times New Roman" w:eastAsia="仿宋_GB2312" w:cs="Times New Roman"/>
        <w:spacing w:val="20"/>
        <w:sz w:val="28"/>
        <w:szCs w:val="28"/>
      </w:rPr>
      <w:t>19</w:t>
    </w:r>
    <w:r>
      <w:rPr>
        <w:rStyle w:val="11"/>
        <w:rFonts w:ascii="Times New Roman" w:hAnsi="Times New Roman" w:eastAsia="仿宋_GB2312" w:cs="Times New Roman"/>
        <w:spacing w:val="20"/>
        <w:sz w:val="28"/>
        <w:szCs w:val="28"/>
      </w:rPr>
      <w:fldChar w:fldCharType="end"/>
    </w:r>
    <w:r>
      <w:rPr>
        <w:rStyle w:val="11"/>
        <w:rFonts w:hint="eastAsia" w:ascii="仿宋_GB2312" w:hAnsi="宋体" w:eastAsia="仿宋_GB2312"/>
        <w:spacing w:val="20"/>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20" w:firstLineChars="100"/>
      <w:rPr>
        <w:rFonts w:ascii="仿宋_GB2312" w:eastAsia="仿宋_GB2312"/>
      </w:rPr>
    </w:pPr>
    <w:r>
      <w:rPr>
        <w:rStyle w:val="11"/>
        <w:rFonts w:hint="eastAsia" w:ascii="仿宋_GB2312" w:hAnsi="宋体" w:eastAsia="仿宋_GB2312"/>
        <w:spacing w:val="20"/>
        <w:sz w:val="28"/>
        <w:szCs w:val="28"/>
      </w:rPr>
      <w:t xml:space="preserve">— </w:t>
    </w:r>
    <w:r>
      <w:rPr>
        <w:rStyle w:val="11"/>
        <w:rFonts w:ascii="Times New Roman" w:hAnsi="Times New Roman" w:eastAsia="仿宋_GB2312" w:cs="Times New Roman"/>
        <w:spacing w:val="20"/>
        <w:sz w:val="28"/>
        <w:szCs w:val="28"/>
      </w:rPr>
      <w:fldChar w:fldCharType="begin"/>
    </w:r>
    <w:r>
      <w:rPr>
        <w:rStyle w:val="11"/>
        <w:rFonts w:ascii="Times New Roman" w:hAnsi="Times New Roman" w:eastAsia="仿宋_GB2312" w:cs="Times New Roman"/>
        <w:spacing w:val="20"/>
        <w:sz w:val="28"/>
        <w:szCs w:val="28"/>
      </w:rPr>
      <w:instrText xml:space="preserve">PAGE  </w:instrText>
    </w:r>
    <w:r>
      <w:rPr>
        <w:rStyle w:val="11"/>
        <w:rFonts w:ascii="Times New Roman" w:hAnsi="Times New Roman" w:eastAsia="仿宋_GB2312" w:cs="Times New Roman"/>
        <w:spacing w:val="20"/>
        <w:sz w:val="28"/>
        <w:szCs w:val="28"/>
      </w:rPr>
      <w:fldChar w:fldCharType="separate"/>
    </w:r>
    <w:r>
      <w:rPr>
        <w:rStyle w:val="11"/>
        <w:rFonts w:ascii="Times New Roman" w:hAnsi="Times New Roman" w:eastAsia="仿宋_GB2312" w:cs="Times New Roman"/>
        <w:spacing w:val="20"/>
        <w:sz w:val="28"/>
        <w:szCs w:val="28"/>
      </w:rPr>
      <w:t>20</w:t>
    </w:r>
    <w:r>
      <w:rPr>
        <w:rStyle w:val="11"/>
        <w:rFonts w:ascii="Times New Roman" w:hAnsi="Times New Roman" w:eastAsia="仿宋_GB2312" w:cs="Times New Roman"/>
        <w:spacing w:val="20"/>
        <w:sz w:val="28"/>
        <w:szCs w:val="28"/>
      </w:rPr>
      <w:fldChar w:fldCharType="end"/>
    </w:r>
    <w:r>
      <w:rPr>
        <w:rStyle w:val="11"/>
        <w:rFonts w:hint="eastAsia" w:ascii="仿宋_GB2312" w:hAnsi="宋体" w:eastAsia="仿宋_GB2312"/>
        <w:spacing w:val="2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_GB2312" w:eastAsia="仿宋_GB2312"/>
      </w:rPr>
    </w:pPr>
    <w:r>
      <w:rPr>
        <w:rStyle w:val="11"/>
        <w:rFonts w:hint="eastAsia" w:ascii="仿宋_GB2312" w:hAnsi="宋体" w:eastAsia="仿宋_GB2312"/>
        <w:spacing w:val="20"/>
        <w:sz w:val="28"/>
        <w:szCs w:val="28"/>
      </w:rPr>
      <w:t xml:space="preserve">— </w:t>
    </w:r>
    <w:r>
      <w:rPr>
        <w:rStyle w:val="11"/>
        <w:rFonts w:ascii="Times New Roman" w:hAnsi="Times New Roman" w:eastAsia="仿宋_GB2312" w:cs="Times New Roman"/>
        <w:spacing w:val="20"/>
        <w:sz w:val="28"/>
        <w:szCs w:val="28"/>
      </w:rPr>
      <w:fldChar w:fldCharType="begin"/>
    </w:r>
    <w:r>
      <w:rPr>
        <w:rStyle w:val="11"/>
        <w:rFonts w:ascii="Times New Roman" w:hAnsi="Times New Roman" w:eastAsia="仿宋_GB2312" w:cs="Times New Roman"/>
        <w:spacing w:val="20"/>
        <w:sz w:val="28"/>
        <w:szCs w:val="28"/>
      </w:rPr>
      <w:instrText xml:space="preserve">PAGE  </w:instrText>
    </w:r>
    <w:r>
      <w:rPr>
        <w:rStyle w:val="11"/>
        <w:rFonts w:ascii="Times New Roman" w:hAnsi="Times New Roman" w:eastAsia="仿宋_GB2312" w:cs="Times New Roman"/>
        <w:spacing w:val="20"/>
        <w:sz w:val="28"/>
        <w:szCs w:val="28"/>
      </w:rPr>
      <w:fldChar w:fldCharType="separate"/>
    </w:r>
    <w:r>
      <w:rPr>
        <w:rStyle w:val="11"/>
        <w:rFonts w:ascii="Times New Roman" w:hAnsi="Times New Roman" w:eastAsia="仿宋_GB2312" w:cs="Times New Roman"/>
        <w:spacing w:val="20"/>
        <w:sz w:val="28"/>
        <w:szCs w:val="28"/>
      </w:rPr>
      <w:t>23</w:t>
    </w:r>
    <w:r>
      <w:rPr>
        <w:rStyle w:val="11"/>
        <w:rFonts w:ascii="Times New Roman" w:hAnsi="Times New Roman" w:eastAsia="仿宋_GB2312" w:cs="Times New Roman"/>
        <w:spacing w:val="20"/>
        <w:sz w:val="28"/>
        <w:szCs w:val="28"/>
      </w:rPr>
      <w:fldChar w:fldCharType="end"/>
    </w:r>
    <w:r>
      <w:rPr>
        <w:rStyle w:val="11"/>
        <w:rFonts w:hint="eastAsia" w:ascii="仿宋_GB2312" w:hAnsi="宋体" w:eastAsia="仿宋_GB2312"/>
        <w:spacing w:val="20"/>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20" w:firstLineChars="100"/>
      <w:jc w:val="center"/>
      <w:rPr>
        <w:rFonts w:ascii="仿宋_GB2312" w:eastAsia="仿宋_GB2312"/>
      </w:rPr>
    </w:pPr>
    <w:r>
      <w:rPr>
        <w:rStyle w:val="11"/>
        <w:rFonts w:hint="eastAsia" w:ascii="仿宋_GB2312" w:hAnsi="宋体" w:eastAsia="仿宋_GB2312"/>
        <w:spacing w:val="20"/>
        <w:sz w:val="28"/>
        <w:szCs w:val="28"/>
      </w:rPr>
      <w:t xml:space="preserve">— </w:t>
    </w:r>
    <w:r>
      <w:rPr>
        <w:rStyle w:val="11"/>
        <w:rFonts w:ascii="Times New Roman" w:hAnsi="Times New Roman" w:eastAsia="仿宋_GB2312" w:cs="Times New Roman"/>
        <w:spacing w:val="20"/>
        <w:sz w:val="28"/>
        <w:szCs w:val="28"/>
      </w:rPr>
      <w:fldChar w:fldCharType="begin"/>
    </w:r>
    <w:r>
      <w:rPr>
        <w:rStyle w:val="11"/>
        <w:rFonts w:ascii="Times New Roman" w:hAnsi="Times New Roman" w:eastAsia="仿宋_GB2312" w:cs="Times New Roman"/>
        <w:spacing w:val="20"/>
        <w:sz w:val="28"/>
        <w:szCs w:val="28"/>
      </w:rPr>
      <w:instrText xml:space="preserve">PAGE  </w:instrText>
    </w:r>
    <w:r>
      <w:rPr>
        <w:rStyle w:val="11"/>
        <w:rFonts w:ascii="Times New Roman" w:hAnsi="Times New Roman" w:eastAsia="仿宋_GB2312" w:cs="Times New Roman"/>
        <w:spacing w:val="20"/>
        <w:sz w:val="28"/>
        <w:szCs w:val="28"/>
      </w:rPr>
      <w:fldChar w:fldCharType="separate"/>
    </w:r>
    <w:r>
      <w:rPr>
        <w:rStyle w:val="11"/>
        <w:rFonts w:ascii="Times New Roman" w:hAnsi="Times New Roman" w:eastAsia="仿宋_GB2312" w:cs="Times New Roman"/>
        <w:spacing w:val="20"/>
        <w:sz w:val="28"/>
        <w:szCs w:val="28"/>
      </w:rPr>
      <w:t>22</w:t>
    </w:r>
    <w:r>
      <w:rPr>
        <w:rStyle w:val="11"/>
        <w:rFonts w:ascii="Times New Roman" w:hAnsi="Times New Roman" w:eastAsia="仿宋_GB2312" w:cs="Times New Roman"/>
        <w:spacing w:val="20"/>
        <w:sz w:val="28"/>
        <w:szCs w:val="28"/>
      </w:rPr>
      <w:fldChar w:fldCharType="end"/>
    </w:r>
    <w:r>
      <w:rPr>
        <w:rStyle w:val="11"/>
        <w:rFonts w:hint="eastAsia" w:ascii="仿宋_GB2312" w:hAnsi="宋体" w:eastAsia="仿宋_GB2312"/>
        <w:spacing w:val="20"/>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20" w:firstLineChars="100"/>
      <w:rPr>
        <w:rFonts w:ascii="仿宋_GB2312" w:eastAsia="仿宋_GB2312"/>
      </w:rPr>
    </w:pPr>
    <w:r>
      <w:rPr>
        <w:rStyle w:val="11"/>
        <w:rFonts w:hint="eastAsia" w:ascii="仿宋_GB2312" w:hAnsi="宋体" w:eastAsia="仿宋_GB2312"/>
        <w:spacing w:val="20"/>
        <w:sz w:val="28"/>
        <w:szCs w:val="28"/>
      </w:rPr>
      <w:t xml:space="preserve">— </w:t>
    </w:r>
    <w:r>
      <w:rPr>
        <w:rStyle w:val="11"/>
        <w:rFonts w:ascii="Times New Roman" w:hAnsi="Times New Roman" w:eastAsia="仿宋_GB2312" w:cs="Times New Roman"/>
        <w:spacing w:val="20"/>
        <w:sz w:val="28"/>
        <w:szCs w:val="28"/>
      </w:rPr>
      <w:fldChar w:fldCharType="begin"/>
    </w:r>
    <w:r>
      <w:rPr>
        <w:rStyle w:val="11"/>
        <w:rFonts w:ascii="Times New Roman" w:hAnsi="Times New Roman" w:eastAsia="仿宋_GB2312" w:cs="Times New Roman"/>
        <w:spacing w:val="20"/>
        <w:sz w:val="28"/>
        <w:szCs w:val="28"/>
      </w:rPr>
      <w:instrText xml:space="preserve">PAGE  </w:instrText>
    </w:r>
    <w:r>
      <w:rPr>
        <w:rStyle w:val="11"/>
        <w:rFonts w:ascii="Times New Roman" w:hAnsi="Times New Roman" w:eastAsia="仿宋_GB2312" w:cs="Times New Roman"/>
        <w:spacing w:val="20"/>
        <w:sz w:val="28"/>
        <w:szCs w:val="28"/>
      </w:rPr>
      <w:fldChar w:fldCharType="separate"/>
    </w:r>
    <w:r>
      <w:rPr>
        <w:rStyle w:val="11"/>
        <w:rFonts w:ascii="Times New Roman" w:hAnsi="Times New Roman" w:eastAsia="仿宋_GB2312" w:cs="Times New Roman"/>
        <w:spacing w:val="20"/>
        <w:sz w:val="28"/>
        <w:szCs w:val="28"/>
      </w:rPr>
      <w:t>24</w:t>
    </w:r>
    <w:r>
      <w:rPr>
        <w:rStyle w:val="11"/>
        <w:rFonts w:ascii="Times New Roman" w:hAnsi="Times New Roman" w:eastAsia="仿宋_GB2312" w:cs="Times New Roman"/>
        <w:spacing w:val="20"/>
        <w:sz w:val="28"/>
        <w:szCs w:val="28"/>
      </w:rPr>
      <w:fldChar w:fldCharType="end"/>
    </w:r>
    <w:r>
      <w:rPr>
        <w:rStyle w:val="11"/>
        <w:rFonts w:hint="eastAsia" w:ascii="仿宋_GB2312" w:hAnsi="宋体" w:eastAsia="仿宋_GB2312"/>
        <w:spacing w:val="20"/>
        <w:sz w:val="28"/>
        <w:szCs w:val="28"/>
      </w:rPr>
      <w:t xml:space="preserve"> —</w: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jc w:val="both"/>
        <w:rPr>
          <w:rFonts w:ascii="楷体_GB2312" w:hAnsi="宋体" w:eastAsia="楷体_GB2312" w:cs="宋体"/>
          <w:sz w:val="21"/>
          <w:szCs w:val="21"/>
        </w:rPr>
      </w:pPr>
      <w:r>
        <w:rPr>
          <w:rStyle w:val="13"/>
          <w:rFonts w:hint="eastAsia" w:ascii="楷体_GB2312" w:hAnsi="宋体" w:eastAsia="楷体_GB2312" w:cs="宋体"/>
          <w:sz w:val="21"/>
          <w:szCs w:val="21"/>
        </w:rPr>
        <w:footnoteRef/>
      </w:r>
      <w:r>
        <w:rPr>
          <w:rFonts w:hint="eastAsia" w:ascii="楷体_GB2312" w:hAnsi="宋体" w:eastAsia="楷体_GB2312" w:cs="宋体"/>
          <w:sz w:val="21"/>
          <w:szCs w:val="21"/>
        </w:rPr>
        <w:t xml:space="preserve"> “一高两强三突出”：市委五届九次全会提出：当前和今后一个时期，“实现人民满意的高质量发展，这是一个总的工作目标”，“做强产业、做强城市，这是两大工作重点”，“突出产业强市、特色发展，突出项目为王、质量至上，突出城乡协调、一体发展，这是三条工作路径”。市委提出的这一发展要求，简要概括为“一高两强三突出”。</w:t>
      </w:r>
    </w:p>
  </w:footnote>
  <w:footnote w:id="1">
    <w:p>
      <w:pPr>
        <w:pStyle w:val="6"/>
        <w:jc w:val="both"/>
        <w:rPr>
          <w:rFonts w:ascii="楷体_GB2312" w:hAnsi="宋体" w:eastAsia="楷体_GB2312" w:cs="宋体"/>
          <w:color w:val="000000" w:themeColor="text1"/>
          <w:sz w:val="21"/>
          <w:szCs w:val="21"/>
        </w:rPr>
      </w:pPr>
      <w:r>
        <w:rPr>
          <w:rStyle w:val="13"/>
          <w:rFonts w:hint="eastAsia" w:ascii="楷体_GB2312" w:hAnsi="宋体" w:eastAsia="楷体_GB2312" w:cs="宋体"/>
          <w:color w:val="000000" w:themeColor="text1"/>
          <w:sz w:val="21"/>
          <w:szCs w:val="21"/>
        </w:rPr>
        <w:footnoteRef/>
      </w:r>
      <w:r>
        <w:rPr>
          <w:rFonts w:hint="eastAsia" w:ascii="楷体_GB2312" w:hAnsi="宋体" w:eastAsia="楷体_GB2312" w:cs="宋体"/>
          <w:color w:val="000000" w:themeColor="text1"/>
          <w:sz w:val="21"/>
          <w:szCs w:val="21"/>
        </w:rPr>
        <w:t xml:space="preserve"> 企业科技创新积分管理：指将以往分散在各部门的科技创新政策集中起来，采用指标量化的办法，对企业的科技创新活动实行年度积分化管理，相关支持政策、资助资金按企业年度积分情况进行兑现，实现企业创新成绩“一张表”、创新政策“一本通”、财政扶持“一账清”。</w:t>
      </w:r>
    </w:p>
  </w:footnote>
  <w:footnote w:id="2">
    <w:p>
      <w:pPr>
        <w:pStyle w:val="6"/>
        <w:jc w:val="both"/>
        <w:rPr>
          <w:rFonts w:ascii="楷体_GB2312" w:hAnsi="宋体" w:eastAsia="楷体_GB2312" w:cs="宋体"/>
          <w:color w:val="000000" w:themeColor="text1"/>
          <w:sz w:val="21"/>
          <w:szCs w:val="21"/>
        </w:rPr>
      </w:pPr>
      <w:r>
        <w:rPr>
          <w:rStyle w:val="13"/>
          <w:rFonts w:hint="eastAsia" w:ascii="楷体_GB2312" w:hAnsi="宋体" w:eastAsia="楷体_GB2312" w:cs="宋体"/>
          <w:color w:val="000000" w:themeColor="text1"/>
          <w:sz w:val="21"/>
          <w:szCs w:val="21"/>
        </w:rPr>
        <w:footnoteRef/>
      </w:r>
      <w:r>
        <w:rPr>
          <w:rFonts w:hint="eastAsia" w:ascii="楷体_GB2312" w:hAnsi="宋体" w:eastAsia="楷体_GB2312" w:cs="宋体"/>
          <w:color w:val="000000" w:themeColor="text1"/>
          <w:sz w:val="21"/>
          <w:szCs w:val="21"/>
        </w:rPr>
        <w:t xml:space="preserve"> “三比一提升”：指重点园区高质量项目建设“三比一提升”，比质量规模、比推进效率、比产出效益，提升核心竞争力。</w:t>
      </w:r>
    </w:p>
  </w:footnote>
  <w:footnote w:id="3">
    <w:p>
      <w:pPr>
        <w:pStyle w:val="6"/>
        <w:jc w:val="both"/>
        <w:rPr>
          <w:rFonts w:ascii="宋体" w:hAnsi="宋体" w:eastAsia="宋体" w:cs="宋体"/>
          <w:color w:val="000000" w:themeColor="text1"/>
          <w:sz w:val="21"/>
          <w:szCs w:val="21"/>
        </w:rPr>
      </w:pPr>
      <w:r>
        <w:rPr>
          <w:rStyle w:val="13"/>
          <w:rFonts w:hint="eastAsia" w:ascii="楷体_GB2312" w:hAnsi="宋体" w:eastAsia="楷体_GB2312" w:cs="宋体"/>
          <w:color w:val="000000" w:themeColor="text1"/>
          <w:sz w:val="21"/>
          <w:szCs w:val="21"/>
        </w:rPr>
        <w:footnoteRef/>
      </w:r>
      <w:r>
        <w:rPr>
          <w:rFonts w:hint="eastAsia" w:ascii="楷体_GB2312" w:hAnsi="宋体" w:eastAsia="楷体_GB2312" w:cs="宋体"/>
          <w:color w:val="000000" w:themeColor="text1"/>
          <w:sz w:val="21"/>
          <w:szCs w:val="21"/>
        </w:rPr>
        <w:t xml:space="preserve"> “好巴士</w:t>
      </w:r>
      <w:r>
        <w:rPr>
          <w:rFonts w:hint="eastAsia" w:ascii="Times New Roman" w:hAnsi="Times New Roman" w:eastAsia="楷体_GB2312" w:cs="宋体"/>
          <w:color w:val="000000" w:themeColor="text1"/>
          <w:sz w:val="21"/>
          <w:szCs w:val="21"/>
        </w:rPr>
        <w:t>1</w:t>
      </w:r>
      <w:r>
        <w:rPr>
          <w:rFonts w:hint="eastAsia" w:ascii="楷体_GB2312" w:hAnsi="宋体" w:eastAsia="楷体_GB2312" w:cs="宋体"/>
          <w:color w:val="000000" w:themeColor="text1"/>
          <w:sz w:val="21"/>
          <w:szCs w:val="21"/>
        </w:rPr>
        <w:t>号线”：好巴士</w:t>
      </w:r>
      <w:r>
        <w:rPr>
          <w:rFonts w:hint="eastAsia" w:ascii="Times New Roman" w:hAnsi="Times New Roman" w:eastAsia="楷体_GB2312" w:cs="宋体"/>
          <w:color w:val="000000" w:themeColor="text1"/>
          <w:sz w:val="21"/>
          <w:szCs w:val="21"/>
        </w:rPr>
        <w:t>HBS</w:t>
      </w:r>
      <w:r>
        <w:rPr>
          <w:rFonts w:hint="eastAsia" w:ascii="楷体_GB2312" w:hAnsi="宋体" w:eastAsia="楷体_GB2312" w:cs="宋体"/>
          <w:color w:val="000000" w:themeColor="text1"/>
          <w:sz w:val="21"/>
          <w:szCs w:val="21"/>
        </w:rPr>
        <w:t>是一种城市公共交通解决方案，利用先进的公交信号优先控制系统，实时检测公交车辆运行状态，科学调节路口交通信号配时，结合公交专用车道设置，提高公交系统的运行速度和可靠性。泰州“好巴士公交</w:t>
      </w:r>
      <w:r>
        <w:rPr>
          <w:rFonts w:hint="eastAsia" w:ascii="Times New Roman" w:hAnsi="Times New Roman" w:eastAsia="楷体_GB2312" w:cs="宋体"/>
          <w:color w:val="000000" w:themeColor="text1"/>
          <w:sz w:val="21"/>
          <w:szCs w:val="21"/>
        </w:rPr>
        <w:t>1</w:t>
      </w:r>
      <w:r>
        <w:rPr>
          <w:rFonts w:hint="eastAsia" w:ascii="楷体_GB2312" w:hAnsi="宋体" w:eastAsia="楷体_GB2312" w:cs="宋体"/>
          <w:color w:val="000000" w:themeColor="text1"/>
          <w:sz w:val="21"/>
          <w:szCs w:val="21"/>
        </w:rPr>
        <w:t>号线”始于扬子江大道，经泰州大道、青年路，止于青年路海阳路口，全长约</w:t>
      </w:r>
      <w:r>
        <w:rPr>
          <w:rFonts w:hint="eastAsia" w:ascii="Times New Roman" w:hAnsi="Times New Roman" w:eastAsia="楷体_GB2312" w:cs="宋体"/>
          <w:color w:val="000000" w:themeColor="text1"/>
          <w:sz w:val="21"/>
          <w:szCs w:val="21"/>
        </w:rPr>
        <w:t>25</w:t>
      </w:r>
      <w:r>
        <w:rPr>
          <w:rFonts w:hint="eastAsia" w:ascii="楷体_GB2312" w:hAnsi="宋体" w:eastAsia="楷体_GB2312" w:cs="宋体"/>
          <w:color w:val="000000" w:themeColor="text1"/>
          <w:sz w:val="21"/>
          <w:szCs w:val="21"/>
        </w:rPr>
        <w:t>公里。</w:t>
      </w:r>
    </w:p>
  </w:footnote>
  <w:footnote w:id="4">
    <w:p>
      <w:pPr>
        <w:pStyle w:val="6"/>
        <w:jc w:val="both"/>
        <w:rPr>
          <w:rFonts w:ascii="楷体_GB2312" w:hAnsi="宋体" w:eastAsia="楷体_GB2312" w:cs="宋体"/>
          <w:sz w:val="21"/>
          <w:szCs w:val="21"/>
        </w:rPr>
      </w:pPr>
      <w:r>
        <w:rPr>
          <w:rStyle w:val="13"/>
          <w:rFonts w:hint="eastAsia" w:ascii="楷体_GB2312" w:hAnsi="宋体" w:eastAsia="楷体_GB2312" w:cs="宋体"/>
          <w:sz w:val="21"/>
          <w:szCs w:val="21"/>
        </w:rPr>
        <w:footnoteRef/>
      </w:r>
      <w:r>
        <w:rPr>
          <w:rFonts w:hint="eastAsia" w:ascii="楷体_GB2312" w:hAnsi="宋体" w:eastAsia="楷体_GB2312" w:cs="宋体"/>
          <w:sz w:val="21"/>
          <w:szCs w:val="21"/>
        </w:rPr>
        <w:t xml:space="preserve"> “两集中三剥离”：指在园区改革中，推动人员和资源向招商一线、服务一线集中，非主营业务逐步剥离，非产业化功能加快剥离，非必要办事机构坚决剥离。</w:t>
      </w:r>
    </w:p>
  </w:footnote>
  <w:footnote w:id="5">
    <w:p>
      <w:pPr>
        <w:pStyle w:val="6"/>
        <w:jc w:val="both"/>
        <w:rPr>
          <w:rFonts w:ascii="楷体_GB2312" w:hAnsi="宋体" w:eastAsia="楷体_GB2312" w:cs="宋体"/>
          <w:sz w:val="21"/>
          <w:szCs w:val="21"/>
        </w:rPr>
      </w:pPr>
      <w:r>
        <w:rPr>
          <w:rStyle w:val="13"/>
          <w:rFonts w:hint="eastAsia" w:ascii="楷体_GB2312" w:hAnsi="宋体" w:eastAsia="楷体_GB2312" w:cs="宋体"/>
          <w:sz w:val="21"/>
          <w:szCs w:val="21"/>
        </w:rPr>
        <w:footnoteRef/>
      </w:r>
      <w:r>
        <w:rPr>
          <w:rFonts w:hint="eastAsia" w:ascii="楷体_GB2312" w:hAnsi="宋体" w:eastAsia="楷体_GB2312" w:cs="宋体"/>
          <w:sz w:val="21"/>
          <w:szCs w:val="21"/>
        </w:rPr>
        <w:t xml:space="preserve"> 按照到</w:t>
      </w:r>
      <w:r>
        <w:rPr>
          <w:rFonts w:hint="eastAsia" w:ascii="Times New Roman" w:hAnsi="Times New Roman" w:eastAsia="楷体_GB2312" w:cs="宋体"/>
          <w:sz w:val="21"/>
          <w:szCs w:val="21"/>
        </w:rPr>
        <w:t>2035</w:t>
      </w:r>
      <w:r>
        <w:rPr>
          <w:rFonts w:hint="eastAsia" w:ascii="楷体_GB2312" w:hAnsi="宋体" w:eastAsia="楷体_GB2312" w:cs="宋体"/>
          <w:sz w:val="21"/>
          <w:szCs w:val="21"/>
        </w:rPr>
        <w:t>年经济总量和人均收入“翻一番”测算，</w:t>
      </w:r>
      <w:r>
        <w:rPr>
          <w:rFonts w:hint="eastAsia" w:ascii="Times New Roman" w:hAnsi="Times New Roman" w:eastAsia="楷体_GB2312" w:cs="宋体"/>
          <w:sz w:val="21"/>
          <w:szCs w:val="21"/>
        </w:rPr>
        <w:t>GDP</w:t>
      </w:r>
      <w:r>
        <w:rPr>
          <w:rFonts w:hint="eastAsia" w:ascii="楷体_GB2312" w:hAnsi="宋体" w:eastAsia="楷体_GB2312" w:cs="宋体"/>
          <w:sz w:val="21"/>
          <w:szCs w:val="21"/>
        </w:rPr>
        <w:t>和城乡居民收入的年均增速约为</w:t>
      </w:r>
      <w:r>
        <w:rPr>
          <w:rFonts w:hint="eastAsia" w:ascii="Times New Roman" w:hAnsi="Times New Roman" w:eastAsia="楷体_GB2312" w:cs="宋体"/>
          <w:sz w:val="21"/>
          <w:szCs w:val="21"/>
        </w:rPr>
        <w:t>4</w:t>
      </w:r>
      <w:r>
        <w:rPr>
          <w:rFonts w:hint="eastAsia" w:ascii="楷体_GB2312" w:hAnsi="宋体" w:eastAsia="楷体_GB2312" w:cs="宋体"/>
          <w:sz w:val="21"/>
          <w:szCs w:val="21"/>
        </w:rPr>
        <w:t>.</w:t>
      </w:r>
      <w:r>
        <w:rPr>
          <w:rFonts w:hint="eastAsia" w:ascii="Times New Roman" w:hAnsi="Times New Roman" w:eastAsia="楷体_GB2312" w:cs="宋体"/>
          <w:sz w:val="21"/>
          <w:szCs w:val="21"/>
        </w:rPr>
        <w:t>73%</w:t>
      </w:r>
      <w:r>
        <w:rPr>
          <w:rFonts w:hint="eastAsia" w:ascii="楷体_GB2312" w:hAnsi="宋体" w:eastAsia="楷体_GB2312" w:cs="宋体"/>
          <w:sz w:val="21"/>
          <w:szCs w:val="21"/>
        </w:rPr>
        <w:t>。</w:t>
      </w:r>
    </w:p>
  </w:footnote>
  <w:footnote w:id="6">
    <w:p>
      <w:pPr>
        <w:pStyle w:val="6"/>
        <w:jc w:val="both"/>
        <w:rPr>
          <w:rFonts w:ascii="楷体_GB2312" w:hAnsi="宋体" w:eastAsia="楷体_GB2312" w:cs="宋体"/>
          <w:sz w:val="21"/>
          <w:szCs w:val="21"/>
        </w:rPr>
      </w:pPr>
      <w:r>
        <w:rPr>
          <w:rStyle w:val="13"/>
          <w:rFonts w:hint="eastAsia" w:ascii="楷体_GB2312" w:hAnsi="宋体" w:eastAsia="楷体_GB2312" w:cs="宋体"/>
          <w:sz w:val="21"/>
          <w:szCs w:val="21"/>
        </w:rPr>
        <w:footnoteRef/>
      </w:r>
      <w:r>
        <w:rPr>
          <w:rFonts w:hint="eastAsia" w:ascii="楷体_GB2312" w:hAnsi="宋体" w:eastAsia="楷体_GB2312" w:cs="宋体"/>
          <w:sz w:val="21"/>
          <w:szCs w:val="21"/>
        </w:rPr>
        <w:t xml:space="preserve"> “一带、两岛、三节点”沿江生态走廊：“一带”，指总长</w:t>
      </w:r>
      <w:r>
        <w:rPr>
          <w:rFonts w:ascii="Times New Roman" w:hAnsi="Times New Roman" w:eastAsia="楷体_GB2312" w:cs="Times New Roman"/>
          <w:sz w:val="21"/>
          <w:szCs w:val="21"/>
        </w:rPr>
        <w:t>23.85</w:t>
      </w:r>
      <w:r>
        <w:rPr>
          <w:rFonts w:hint="eastAsia" w:ascii="楷体_GB2312" w:hAnsi="宋体" w:eastAsia="楷体_GB2312" w:cs="宋体"/>
          <w:sz w:val="21"/>
          <w:szCs w:val="21"/>
        </w:rPr>
        <w:t>公里的长江泰州段滨江风光带；“两岛”，指靖江马洲岛、泰兴天星洲两个生态岛；“三节点”，指高港春江湿地公园、泰兴沿江生态廊道、靖江牧城公园三个节点。</w:t>
      </w:r>
    </w:p>
  </w:footnote>
  <w:footnote w:id="7">
    <w:p>
      <w:pPr>
        <w:pStyle w:val="6"/>
        <w:jc w:val="both"/>
        <w:rPr>
          <w:rFonts w:ascii="楷体_GB2312" w:hAnsi="宋体" w:eastAsia="楷体_GB2312" w:cs="宋体"/>
          <w:sz w:val="21"/>
          <w:szCs w:val="21"/>
        </w:rPr>
      </w:pPr>
      <w:r>
        <w:rPr>
          <w:rStyle w:val="13"/>
          <w:rFonts w:hint="eastAsia" w:ascii="楷体_GB2312" w:hAnsi="宋体" w:eastAsia="楷体_GB2312" w:cs="宋体"/>
          <w:sz w:val="21"/>
          <w:szCs w:val="21"/>
        </w:rPr>
        <w:footnoteRef/>
      </w:r>
      <w:r>
        <w:rPr>
          <w:rFonts w:hint="eastAsia" w:ascii="楷体_GB2312" w:hAnsi="宋体" w:eastAsia="楷体_GB2312" w:cs="宋体"/>
          <w:sz w:val="21"/>
          <w:szCs w:val="21"/>
        </w:rPr>
        <w:t xml:space="preserve"> “雪亮工程”：是以县、乡、村三级综治中心为指挥平台、以综治信息化为支撑、以网格化管理为基础、以公共安全视频监控联网应用为重点的“群众性治安防控工程”。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val="1"/>
  <w:bordersDoNotSurroundHeader w:val="1"/>
  <w:bordersDoNotSurroundFooter w:val="1"/>
  <w:documentProtection w:enforcement="0"/>
  <w:defaultTabStop w:val="420"/>
  <w:evenAndOddHeaders w:val="1"/>
  <w:drawingGridHorizontalSpacing w:val="105"/>
  <w:drawingGridVerticalSpacing w:val="315"/>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10"/>
    <w:rsid w:val="0000066E"/>
    <w:rsid w:val="00007C81"/>
    <w:rsid w:val="0001196A"/>
    <w:rsid w:val="00016F52"/>
    <w:rsid w:val="0002115C"/>
    <w:rsid w:val="00023CAB"/>
    <w:rsid w:val="00024F84"/>
    <w:rsid w:val="0002636E"/>
    <w:rsid w:val="0002698F"/>
    <w:rsid w:val="00032237"/>
    <w:rsid w:val="00042E04"/>
    <w:rsid w:val="00044E3F"/>
    <w:rsid w:val="000465E9"/>
    <w:rsid w:val="00046878"/>
    <w:rsid w:val="00051649"/>
    <w:rsid w:val="000557D8"/>
    <w:rsid w:val="00057A7F"/>
    <w:rsid w:val="000608F4"/>
    <w:rsid w:val="0006095C"/>
    <w:rsid w:val="00061057"/>
    <w:rsid w:val="0006121D"/>
    <w:rsid w:val="000615A3"/>
    <w:rsid w:val="00064D75"/>
    <w:rsid w:val="0006597E"/>
    <w:rsid w:val="00076A22"/>
    <w:rsid w:val="0008055E"/>
    <w:rsid w:val="00080668"/>
    <w:rsid w:val="00080B3A"/>
    <w:rsid w:val="000810EA"/>
    <w:rsid w:val="00082830"/>
    <w:rsid w:val="00087337"/>
    <w:rsid w:val="000A01D4"/>
    <w:rsid w:val="000A35F8"/>
    <w:rsid w:val="000A518E"/>
    <w:rsid w:val="000B089D"/>
    <w:rsid w:val="000B0F91"/>
    <w:rsid w:val="000B23B7"/>
    <w:rsid w:val="000B261F"/>
    <w:rsid w:val="000C08AB"/>
    <w:rsid w:val="000C18F9"/>
    <w:rsid w:val="000C1FA5"/>
    <w:rsid w:val="000D0EDF"/>
    <w:rsid w:val="000D2DFF"/>
    <w:rsid w:val="000D551C"/>
    <w:rsid w:val="000D5F9A"/>
    <w:rsid w:val="000D6FD7"/>
    <w:rsid w:val="000D7AF3"/>
    <w:rsid w:val="000E011F"/>
    <w:rsid w:val="000E0717"/>
    <w:rsid w:val="000E1579"/>
    <w:rsid w:val="000E4F72"/>
    <w:rsid w:val="000E501C"/>
    <w:rsid w:val="000F0810"/>
    <w:rsid w:val="000F4617"/>
    <w:rsid w:val="00101E14"/>
    <w:rsid w:val="00104C7E"/>
    <w:rsid w:val="00107E96"/>
    <w:rsid w:val="00113655"/>
    <w:rsid w:val="00113D1C"/>
    <w:rsid w:val="00130831"/>
    <w:rsid w:val="00132107"/>
    <w:rsid w:val="00134C1E"/>
    <w:rsid w:val="00152F0A"/>
    <w:rsid w:val="00154312"/>
    <w:rsid w:val="001628D8"/>
    <w:rsid w:val="001640DF"/>
    <w:rsid w:val="00167277"/>
    <w:rsid w:val="00171EDB"/>
    <w:rsid w:val="00174255"/>
    <w:rsid w:val="00181463"/>
    <w:rsid w:val="00184C41"/>
    <w:rsid w:val="00192A50"/>
    <w:rsid w:val="001937C2"/>
    <w:rsid w:val="00195300"/>
    <w:rsid w:val="001A2005"/>
    <w:rsid w:val="001A2518"/>
    <w:rsid w:val="001A3CAD"/>
    <w:rsid w:val="001A5A44"/>
    <w:rsid w:val="001A5B9A"/>
    <w:rsid w:val="001A5F7A"/>
    <w:rsid w:val="001A6CFE"/>
    <w:rsid w:val="001A7209"/>
    <w:rsid w:val="001B42E2"/>
    <w:rsid w:val="001B6D47"/>
    <w:rsid w:val="001C079B"/>
    <w:rsid w:val="001C09D1"/>
    <w:rsid w:val="001D243F"/>
    <w:rsid w:val="001D4393"/>
    <w:rsid w:val="001D498B"/>
    <w:rsid w:val="001D4F99"/>
    <w:rsid w:val="001D7B8C"/>
    <w:rsid w:val="001E2D77"/>
    <w:rsid w:val="001E681D"/>
    <w:rsid w:val="001E7840"/>
    <w:rsid w:val="001F49A7"/>
    <w:rsid w:val="001F4D2E"/>
    <w:rsid w:val="001F5899"/>
    <w:rsid w:val="001F640B"/>
    <w:rsid w:val="001F6796"/>
    <w:rsid w:val="00200770"/>
    <w:rsid w:val="00204E72"/>
    <w:rsid w:val="00205F8D"/>
    <w:rsid w:val="002072BB"/>
    <w:rsid w:val="00210475"/>
    <w:rsid w:val="002114CF"/>
    <w:rsid w:val="00214A39"/>
    <w:rsid w:val="00217C2B"/>
    <w:rsid w:val="002206CF"/>
    <w:rsid w:val="002218C4"/>
    <w:rsid w:val="00224030"/>
    <w:rsid w:val="002253DC"/>
    <w:rsid w:val="0023035C"/>
    <w:rsid w:val="002336BD"/>
    <w:rsid w:val="00236BD9"/>
    <w:rsid w:val="00243714"/>
    <w:rsid w:val="00250648"/>
    <w:rsid w:val="002542FE"/>
    <w:rsid w:val="002559EF"/>
    <w:rsid w:val="00260D11"/>
    <w:rsid w:val="00264095"/>
    <w:rsid w:val="00265106"/>
    <w:rsid w:val="002655CA"/>
    <w:rsid w:val="00267120"/>
    <w:rsid w:val="002734D6"/>
    <w:rsid w:val="002751FF"/>
    <w:rsid w:val="00275E9A"/>
    <w:rsid w:val="002767AE"/>
    <w:rsid w:val="00276EA1"/>
    <w:rsid w:val="0029275B"/>
    <w:rsid w:val="002934E8"/>
    <w:rsid w:val="0029740B"/>
    <w:rsid w:val="002A1540"/>
    <w:rsid w:val="002A29C8"/>
    <w:rsid w:val="002A4679"/>
    <w:rsid w:val="002A5811"/>
    <w:rsid w:val="002A7883"/>
    <w:rsid w:val="002B0D6A"/>
    <w:rsid w:val="002B2349"/>
    <w:rsid w:val="002B2CF6"/>
    <w:rsid w:val="002B561A"/>
    <w:rsid w:val="002C51D8"/>
    <w:rsid w:val="002C64DA"/>
    <w:rsid w:val="002D4714"/>
    <w:rsid w:val="002D714B"/>
    <w:rsid w:val="002E4CFE"/>
    <w:rsid w:val="002F26D1"/>
    <w:rsid w:val="002F7B20"/>
    <w:rsid w:val="003132D7"/>
    <w:rsid w:val="00314200"/>
    <w:rsid w:val="00316581"/>
    <w:rsid w:val="00317FEB"/>
    <w:rsid w:val="003204E2"/>
    <w:rsid w:val="00320AFD"/>
    <w:rsid w:val="00322293"/>
    <w:rsid w:val="00322B4E"/>
    <w:rsid w:val="00323A8F"/>
    <w:rsid w:val="003249E4"/>
    <w:rsid w:val="00326AF9"/>
    <w:rsid w:val="00326FAE"/>
    <w:rsid w:val="00327B34"/>
    <w:rsid w:val="003366E9"/>
    <w:rsid w:val="00336CC0"/>
    <w:rsid w:val="00336D75"/>
    <w:rsid w:val="0034038F"/>
    <w:rsid w:val="00344218"/>
    <w:rsid w:val="00345789"/>
    <w:rsid w:val="003464BC"/>
    <w:rsid w:val="00352240"/>
    <w:rsid w:val="00355FBE"/>
    <w:rsid w:val="00360C1C"/>
    <w:rsid w:val="00372C1E"/>
    <w:rsid w:val="0037319F"/>
    <w:rsid w:val="003768FD"/>
    <w:rsid w:val="003903FC"/>
    <w:rsid w:val="0039336F"/>
    <w:rsid w:val="0039408B"/>
    <w:rsid w:val="00395DFC"/>
    <w:rsid w:val="003A0846"/>
    <w:rsid w:val="003A1F4E"/>
    <w:rsid w:val="003B0554"/>
    <w:rsid w:val="003B0D6C"/>
    <w:rsid w:val="003B27C6"/>
    <w:rsid w:val="003B313B"/>
    <w:rsid w:val="003B5D2B"/>
    <w:rsid w:val="003C5B62"/>
    <w:rsid w:val="003C64EE"/>
    <w:rsid w:val="003D0E7B"/>
    <w:rsid w:val="003D29A6"/>
    <w:rsid w:val="003D46E3"/>
    <w:rsid w:val="003D4D5A"/>
    <w:rsid w:val="003D7D2C"/>
    <w:rsid w:val="003E06E8"/>
    <w:rsid w:val="003E1B9D"/>
    <w:rsid w:val="003F0FDD"/>
    <w:rsid w:val="00400550"/>
    <w:rsid w:val="00400AC4"/>
    <w:rsid w:val="00401869"/>
    <w:rsid w:val="0040316B"/>
    <w:rsid w:val="004062D2"/>
    <w:rsid w:val="00412227"/>
    <w:rsid w:val="00412265"/>
    <w:rsid w:val="00412DDA"/>
    <w:rsid w:val="00413037"/>
    <w:rsid w:val="00414D9D"/>
    <w:rsid w:val="00415D72"/>
    <w:rsid w:val="00421125"/>
    <w:rsid w:val="00422E41"/>
    <w:rsid w:val="00424DE8"/>
    <w:rsid w:val="00425ADE"/>
    <w:rsid w:val="00426C8F"/>
    <w:rsid w:val="00427F58"/>
    <w:rsid w:val="004344A9"/>
    <w:rsid w:val="004400A0"/>
    <w:rsid w:val="0046581A"/>
    <w:rsid w:val="00467E76"/>
    <w:rsid w:val="0047399D"/>
    <w:rsid w:val="00474458"/>
    <w:rsid w:val="004770F8"/>
    <w:rsid w:val="00477B29"/>
    <w:rsid w:val="00482FC8"/>
    <w:rsid w:val="004844DE"/>
    <w:rsid w:val="00486041"/>
    <w:rsid w:val="00492007"/>
    <w:rsid w:val="004A1C18"/>
    <w:rsid w:val="004A5607"/>
    <w:rsid w:val="004A5C35"/>
    <w:rsid w:val="004B0E66"/>
    <w:rsid w:val="004B1F57"/>
    <w:rsid w:val="004B3060"/>
    <w:rsid w:val="004B7533"/>
    <w:rsid w:val="004C498A"/>
    <w:rsid w:val="004C6293"/>
    <w:rsid w:val="004C6FD8"/>
    <w:rsid w:val="004D001B"/>
    <w:rsid w:val="004D4962"/>
    <w:rsid w:val="004E0054"/>
    <w:rsid w:val="004F11A8"/>
    <w:rsid w:val="004F22A6"/>
    <w:rsid w:val="00502371"/>
    <w:rsid w:val="00502929"/>
    <w:rsid w:val="00517C9E"/>
    <w:rsid w:val="00522CD7"/>
    <w:rsid w:val="00523B95"/>
    <w:rsid w:val="0052553D"/>
    <w:rsid w:val="005260FF"/>
    <w:rsid w:val="005269B9"/>
    <w:rsid w:val="00527241"/>
    <w:rsid w:val="0053008A"/>
    <w:rsid w:val="00532EFC"/>
    <w:rsid w:val="005334D8"/>
    <w:rsid w:val="00533AF6"/>
    <w:rsid w:val="00533BD3"/>
    <w:rsid w:val="0053415F"/>
    <w:rsid w:val="0053478C"/>
    <w:rsid w:val="00537918"/>
    <w:rsid w:val="005407AF"/>
    <w:rsid w:val="005455EE"/>
    <w:rsid w:val="00545FC5"/>
    <w:rsid w:val="00546A16"/>
    <w:rsid w:val="00557EA3"/>
    <w:rsid w:val="00557FC6"/>
    <w:rsid w:val="00561AC8"/>
    <w:rsid w:val="00564057"/>
    <w:rsid w:val="00566444"/>
    <w:rsid w:val="005678CE"/>
    <w:rsid w:val="0057219E"/>
    <w:rsid w:val="0058667D"/>
    <w:rsid w:val="0059129A"/>
    <w:rsid w:val="005A1E3D"/>
    <w:rsid w:val="005A3D62"/>
    <w:rsid w:val="005A5D62"/>
    <w:rsid w:val="005A67EE"/>
    <w:rsid w:val="005A6C18"/>
    <w:rsid w:val="005B03F8"/>
    <w:rsid w:val="005B190B"/>
    <w:rsid w:val="005B3E1D"/>
    <w:rsid w:val="005B4210"/>
    <w:rsid w:val="005B5A4E"/>
    <w:rsid w:val="005C2EC9"/>
    <w:rsid w:val="005D512B"/>
    <w:rsid w:val="005D5702"/>
    <w:rsid w:val="00601BFE"/>
    <w:rsid w:val="00602186"/>
    <w:rsid w:val="006032A9"/>
    <w:rsid w:val="0060436C"/>
    <w:rsid w:val="0060642D"/>
    <w:rsid w:val="00610185"/>
    <w:rsid w:val="0061578B"/>
    <w:rsid w:val="00620BCE"/>
    <w:rsid w:val="006248B4"/>
    <w:rsid w:val="00626B56"/>
    <w:rsid w:val="00633F90"/>
    <w:rsid w:val="006355CA"/>
    <w:rsid w:val="0064243A"/>
    <w:rsid w:val="0064582F"/>
    <w:rsid w:val="0064672E"/>
    <w:rsid w:val="00653BBA"/>
    <w:rsid w:val="00655672"/>
    <w:rsid w:val="0066197E"/>
    <w:rsid w:val="00662F6E"/>
    <w:rsid w:val="00667265"/>
    <w:rsid w:val="00671933"/>
    <w:rsid w:val="00672BFD"/>
    <w:rsid w:val="0068252C"/>
    <w:rsid w:val="00685286"/>
    <w:rsid w:val="00687875"/>
    <w:rsid w:val="00697EBA"/>
    <w:rsid w:val="006A0618"/>
    <w:rsid w:val="006A0673"/>
    <w:rsid w:val="006A37C1"/>
    <w:rsid w:val="006A5FFB"/>
    <w:rsid w:val="006A787B"/>
    <w:rsid w:val="006B08DC"/>
    <w:rsid w:val="006B1370"/>
    <w:rsid w:val="006B6C9B"/>
    <w:rsid w:val="006B7FE6"/>
    <w:rsid w:val="006C4390"/>
    <w:rsid w:val="006C7225"/>
    <w:rsid w:val="006D31D9"/>
    <w:rsid w:val="006D39F7"/>
    <w:rsid w:val="006D3C97"/>
    <w:rsid w:val="006D482E"/>
    <w:rsid w:val="006E2BBD"/>
    <w:rsid w:val="006E3A52"/>
    <w:rsid w:val="006E788A"/>
    <w:rsid w:val="006F1442"/>
    <w:rsid w:val="006F3B95"/>
    <w:rsid w:val="006F6397"/>
    <w:rsid w:val="006F71E8"/>
    <w:rsid w:val="0070202F"/>
    <w:rsid w:val="00702474"/>
    <w:rsid w:val="00703B4D"/>
    <w:rsid w:val="00705614"/>
    <w:rsid w:val="007109DA"/>
    <w:rsid w:val="00711FA1"/>
    <w:rsid w:val="00716A73"/>
    <w:rsid w:val="00721C67"/>
    <w:rsid w:val="00723150"/>
    <w:rsid w:val="0072415A"/>
    <w:rsid w:val="007245C5"/>
    <w:rsid w:val="00725E1B"/>
    <w:rsid w:val="00730AA4"/>
    <w:rsid w:val="00740B1A"/>
    <w:rsid w:val="0074278C"/>
    <w:rsid w:val="007443D1"/>
    <w:rsid w:val="00751502"/>
    <w:rsid w:val="00751CDC"/>
    <w:rsid w:val="007570B9"/>
    <w:rsid w:val="007573A4"/>
    <w:rsid w:val="00763AB7"/>
    <w:rsid w:val="00765F0B"/>
    <w:rsid w:val="007674CE"/>
    <w:rsid w:val="007861FB"/>
    <w:rsid w:val="0078725A"/>
    <w:rsid w:val="007905BB"/>
    <w:rsid w:val="007956B5"/>
    <w:rsid w:val="00796ADD"/>
    <w:rsid w:val="007A4704"/>
    <w:rsid w:val="007A7C26"/>
    <w:rsid w:val="007B255C"/>
    <w:rsid w:val="007B2DE5"/>
    <w:rsid w:val="007B4FE3"/>
    <w:rsid w:val="007B51D3"/>
    <w:rsid w:val="007C1280"/>
    <w:rsid w:val="007C1DD9"/>
    <w:rsid w:val="007C56EE"/>
    <w:rsid w:val="007C7007"/>
    <w:rsid w:val="007C7575"/>
    <w:rsid w:val="007D0D90"/>
    <w:rsid w:val="007E0E50"/>
    <w:rsid w:val="007E1DAF"/>
    <w:rsid w:val="007E6894"/>
    <w:rsid w:val="007F08C3"/>
    <w:rsid w:val="007F0986"/>
    <w:rsid w:val="007F3A2B"/>
    <w:rsid w:val="007F6A5D"/>
    <w:rsid w:val="008056A6"/>
    <w:rsid w:val="00815DBA"/>
    <w:rsid w:val="008166F3"/>
    <w:rsid w:val="008206EB"/>
    <w:rsid w:val="008252EA"/>
    <w:rsid w:val="008252F2"/>
    <w:rsid w:val="00827E92"/>
    <w:rsid w:val="00834953"/>
    <w:rsid w:val="00841BB8"/>
    <w:rsid w:val="008457A4"/>
    <w:rsid w:val="0084663C"/>
    <w:rsid w:val="00847B3C"/>
    <w:rsid w:val="0085578E"/>
    <w:rsid w:val="00862F90"/>
    <w:rsid w:val="00867323"/>
    <w:rsid w:val="00872163"/>
    <w:rsid w:val="0087370E"/>
    <w:rsid w:val="008739F6"/>
    <w:rsid w:val="00880B64"/>
    <w:rsid w:val="00881525"/>
    <w:rsid w:val="008A21B3"/>
    <w:rsid w:val="008A3072"/>
    <w:rsid w:val="008A40B6"/>
    <w:rsid w:val="008A4D8D"/>
    <w:rsid w:val="008B0EE4"/>
    <w:rsid w:val="008B4BC2"/>
    <w:rsid w:val="008B6611"/>
    <w:rsid w:val="008C1DAA"/>
    <w:rsid w:val="008C332B"/>
    <w:rsid w:val="008C79FB"/>
    <w:rsid w:val="008C7DCF"/>
    <w:rsid w:val="008D0A49"/>
    <w:rsid w:val="008D0B6C"/>
    <w:rsid w:val="008D24EA"/>
    <w:rsid w:val="008D2E20"/>
    <w:rsid w:val="008D6BF0"/>
    <w:rsid w:val="008D74CD"/>
    <w:rsid w:val="008F0371"/>
    <w:rsid w:val="008F3910"/>
    <w:rsid w:val="008F3912"/>
    <w:rsid w:val="008F5634"/>
    <w:rsid w:val="00900820"/>
    <w:rsid w:val="0090395E"/>
    <w:rsid w:val="0090453B"/>
    <w:rsid w:val="00905763"/>
    <w:rsid w:val="00906D78"/>
    <w:rsid w:val="00916BA7"/>
    <w:rsid w:val="00924E90"/>
    <w:rsid w:val="00930F0A"/>
    <w:rsid w:val="009370B2"/>
    <w:rsid w:val="00940C4F"/>
    <w:rsid w:val="00941EB5"/>
    <w:rsid w:val="00945723"/>
    <w:rsid w:val="009459A6"/>
    <w:rsid w:val="00961660"/>
    <w:rsid w:val="00962FFF"/>
    <w:rsid w:val="00985CC2"/>
    <w:rsid w:val="00986887"/>
    <w:rsid w:val="00992539"/>
    <w:rsid w:val="00992BEC"/>
    <w:rsid w:val="00993E9F"/>
    <w:rsid w:val="00994E56"/>
    <w:rsid w:val="009A7E2C"/>
    <w:rsid w:val="009A7E67"/>
    <w:rsid w:val="009B2985"/>
    <w:rsid w:val="009B3CD3"/>
    <w:rsid w:val="009B79D5"/>
    <w:rsid w:val="009C1242"/>
    <w:rsid w:val="009C4E01"/>
    <w:rsid w:val="009C6D1D"/>
    <w:rsid w:val="009C797F"/>
    <w:rsid w:val="009D6069"/>
    <w:rsid w:val="009D66C4"/>
    <w:rsid w:val="009D6B20"/>
    <w:rsid w:val="009E3492"/>
    <w:rsid w:val="009E3A88"/>
    <w:rsid w:val="009E4E4D"/>
    <w:rsid w:val="009E523E"/>
    <w:rsid w:val="009E6A15"/>
    <w:rsid w:val="009E6B35"/>
    <w:rsid w:val="009F4D7F"/>
    <w:rsid w:val="009F55A2"/>
    <w:rsid w:val="00A010D1"/>
    <w:rsid w:val="00A0122A"/>
    <w:rsid w:val="00A022FF"/>
    <w:rsid w:val="00A0403A"/>
    <w:rsid w:val="00A05F09"/>
    <w:rsid w:val="00A06723"/>
    <w:rsid w:val="00A109E1"/>
    <w:rsid w:val="00A12EFB"/>
    <w:rsid w:val="00A14D21"/>
    <w:rsid w:val="00A23668"/>
    <w:rsid w:val="00A250AA"/>
    <w:rsid w:val="00A25D0C"/>
    <w:rsid w:val="00A279C9"/>
    <w:rsid w:val="00A33093"/>
    <w:rsid w:val="00A345FB"/>
    <w:rsid w:val="00A361B6"/>
    <w:rsid w:val="00A40D93"/>
    <w:rsid w:val="00A435A5"/>
    <w:rsid w:val="00A46B55"/>
    <w:rsid w:val="00A535C0"/>
    <w:rsid w:val="00A54A5E"/>
    <w:rsid w:val="00A55289"/>
    <w:rsid w:val="00A55DB0"/>
    <w:rsid w:val="00A56C35"/>
    <w:rsid w:val="00A57BD1"/>
    <w:rsid w:val="00A57DF9"/>
    <w:rsid w:val="00A61129"/>
    <w:rsid w:val="00A64350"/>
    <w:rsid w:val="00A65261"/>
    <w:rsid w:val="00A70972"/>
    <w:rsid w:val="00A75FD0"/>
    <w:rsid w:val="00A801EC"/>
    <w:rsid w:val="00A83987"/>
    <w:rsid w:val="00A86523"/>
    <w:rsid w:val="00A93375"/>
    <w:rsid w:val="00A9602C"/>
    <w:rsid w:val="00A97ABD"/>
    <w:rsid w:val="00AA1BDD"/>
    <w:rsid w:val="00AA2974"/>
    <w:rsid w:val="00AA2AA3"/>
    <w:rsid w:val="00AA4758"/>
    <w:rsid w:val="00AB140C"/>
    <w:rsid w:val="00AB446D"/>
    <w:rsid w:val="00AB7C3D"/>
    <w:rsid w:val="00AC1850"/>
    <w:rsid w:val="00AC275A"/>
    <w:rsid w:val="00AD7EF0"/>
    <w:rsid w:val="00AE1200"/>
    <w:rsid w:val="00AE5DC7"/>
    <w:rsid w:val="00AE6941"/>
    <w:rsid w:val="00AF1E19"/>
    <w:rsid w:val="00AF329E"/>
    <w:rsid w:val="00AF5110"/>
    <w:rsid w:val="00AF624E"/>
    <w:rsid w:val="00AF78B2"/>
    <w:rsid w:val="00B022D4"/>
    <w:rsid w:val="00B04B95"/>
    <w:rsid w:val="00B05993"/>
    <w:rsid w:val="00B05B62"/>
    <w:rsid w:val="00B10CE1"/>
    <w:rsid w:val="00B15047"/>
    <w:rsid w:val="00B16ACC"/>
    <w:rsid w:val="00B20267"/>
    <w:rsid w:val="00B20DEE"/>
    <w:rsid w:val="00B2131D"/>
    <w:rsid w:val="00B21DD6"/>
    <w:rsid w:val="00B2474D"/>
    <w:rsid w:val="00B37246"/>
    <w:rsid w:val="00B411CA"/>
    <w:rsid w:val="00B453B8"/>
    <w:rsid w:val="00B45EDD"/>
    <w:rsid w:val="00B47715"/>
    <w:rsid w:val="00B530AD"/>
    <w:rsid w:val="00B5460C"/>
    <w:rsid w:val="00B552F5"/>
    <w:rsid w:val="00B572E4"/>
    <w:rsid w:val="00B618C6"/>
    <w:rsid w:val="00B624A4"/>
    <w:rsid w:val="00B6390C"/>
    <w:rsid w:val="00B720E9"/>
    <w:rsid w:val="00B7586C"/>
    <w:rsid w:val="00B760A7"/>
    <w:rsid w:val="00B826B9"/>
    <w:rsid w:val="00B83C88"/>
    <w:rsid w:val="00B850CA"/>
    <w:rsid w:val="00B85B45"/>
    <w:rsid w:val="00B861CC"/>
    <w:rsid w:val="00B87CEB"/>
    <w:rsid w:val="00B90CFC"/>
    <w:rsid w:val="00B92285"/>
    <w:rsid w:val="00B95471"/>
    <w:rsid w:val="00B95A5E"/>
    <w:rsid w:val="00BA2321"/>
    <w:rsid w:val="00BA2AD1"/>
    <w:rsid w:val="00BB47D2"/>
    <w:rsid w:val="00BC0D8A"/>
    <w:rsid w:val="00BC368D"/>
    <w:rsid w:val="00BC5641"/>
    <w:rsid w:val="00BD0103"/>
    <w:rsid w:val="00BD088C"/>
    <w:rsid w:val="00BD2B3A"/>
    <w:rsid w:val="00BD55E3"/>
    <w:rsid w:val="00BD647C"/>
    <w:rsid w:val="00BE255A"/>
    <w:rsid w:val="00BE4382"/>
    <w:rsid w:val="00BF210B"/>
    <w:rsid w:val="00BF2E81"/>
    <w:rsid w:val="00BF4E59"/>
    <w:rsid w:val="00C03B84"/>
    <w:rsid w:val="00C15649"/>
    <w:rsid w:val="00C2276F"/>
    <w:rsid w:val="00C2453C"/>
    <w:rsid w:val="00C24EF3"/>
    <w:rsid w:val="00C25E0A"/>
    <w:rsid w:val="00C30BC5"/>
    <w:rsid w:val="00C320AA"/>
    <w:rsid w:val="00C37E6F"/>
    <w:rsid w:val="00C408BE"/>
    <w:rsid w:val="00C40E58"/>
    <w:rsid w:val="00C4507E"/>
    <w:rsid w:val="00C5293B"/>
    <w:rsid w:val="00C556D2"/>
    <w:rsid w:val="00C5591B"/>
    <w:rsid w:val="00C566C1"/>
    <w:rsid w:val="00C570FB"/>
    <w:rsid w:val="00C63500"/>
    <w:rsid w:val="00C64085"/>
    <w:rsid w:val="00C66328"/>
    <w:rsid w:val="00C737F3"/>
    <w:rsid w:val="00C76F45"/>
    <w:rsid w:val="00C90C4C"/>
    <w:rsid w:val="00C94BFB"/>
    <w:rsid w:val="00C95E8C"/>
    <w:rsid w:val="00CA3777"/>
    <w:rsid w:val="00CA6721"/>
    <w:rsid w:val="00CA7F25"/>
    <w:rsid w:val="00CB1B8F"/>
    <w:rsid w:val="00CB1CC9"/>
    <w:rsid w:val="00CB5583"/>
    <w:rsid w:val="00CB7E3A"/>
    <w:rsid w:val="00CC58DC"/>
    <w:rsid w:val="00CD031C"/>
    <w:rsid w:val="00CD6933"/>
    <w:rsid w:val="00CD6B9E"/>
    <w:rsid w:val="00CD7DA8"/>
    <w:rsid w:val="00CE461B"/>
    <w:rsid w:val="00CF2A0B"/>
    <w:rsid w:val="00CF37CA"/>
    <w:rsid w:val="00CF6A05"/>
    <w:rsid w:val="00D00515"/>
    <w:rsid w:val="00D00599"/>
    <w:rsid w:val="00D0257E"/>
    <w:rsid w:val="00D04770"/>
    <w:rsid w:val="00D050FC"/>
    <w:rsid w:val="00D05C8C"/>
    <w:rsid w:val="00D17B20"/>
    <w:rsid w:val="00D234E9"/>
    <w:rsid w:val="00D2542F"/>
    <w:rsid w:val="00D259ED"/>
    <w:rsid w:val="00D41AAB"/>
    <w:rsid w:val="00D4794D"/>
    <w:rsid w:val="00D47C52"/>
    <w:rsid w:val="00D51226"/>
    <w:rsid w:val="00D5148F"/>
    <w:rsid w:val="00D527A7"/>
    <w:rsid w:val="00D538F3"/>
    <w:rsid w:val="00D61345"/>
    <w:rsid w:val="00D749DD"/>
    <w:rsid w:val="00D75E27"/>
    <w:rsid w:val="00D80C32"/>
    <w:rsid w:val="00D84B24"/>
    <w:rsid w:val="00D85923"/>
    <w:rsid w:val="00D90401"/>
    <w:rsid w:val="00D9113C"/>
    <w:rsid w:val="00D913FF"/>
    <w:rsid w:val="00D94199"/>
    <w:rsid w:val="00D9441A"/>
    <w:rsid w:val="00D95C2C"/>
    <w:rsid w:val="00D95ED9"/>
    <w:rsid w:val="00DA083A"/>
    <w:rsid w:val="00DA4687"/>
    <w:rsid w:val="00DA7CF1"/>
    <w:rsid w:val="00DB10FF"/>
    <w:rsid w:val="00DB499E"/>
    <w:rsid w:val="00DB4E6C"/>
    <w:rsid w:val="00DC00AE"/>
    <w:rsid w:val="00DC425B"/>
    <w:rsid w:val="00DC4746"/>
    <w:rsid w:val="00DD5BD9"/>
    <w:rsid w:val="00DE1820"/>
    <w:rsid w:val="00DE1C37"/>
    <w:rsid w:val="00DE3D6C"/>
    <w:rsid w:val="00DE4CC0"/>
    <w:rsid w:val="00DE787F"/>
    <w:rsid w:val="00DF2123"/>
    <w:rsid w:val="00DF3386"/>
    <w:rsid w:val="00DF3C6B"/>
    <w:rsid w:val="00E01442"/>
    <w:rsid w:val="00E023E5"/>
    <w:rsid w:val="00E05430"/>
    <w:rsid w:val="00E06E9A"/>
    <w:rsid w:val="00E24322"/>
    <w:rsid w:val="00E2440F"/>
    <w:rsid w:val="00E24F0B"/>
    <w:rsid w:val="00E30536"/>
    <w:rsid w:val="00E40D71"/>
    <w:rsid w:val="00E460AE"/>
    <w:rsid w:val="00E50815"/>
    <w:rsid w:val="00E55AC4"/>
    <w:rsid w:val="00E55CB8"/>
    <w:rsid w:val="00E565CF"/>
    <w:rsid w:val="00E65E5D"/>
    <w:rsid w:val="00E6760D"/>
    <w:rsid w:val="00E74B2E"/>
    <w:rsid w:val="00E74D3D"/>
    <w:rsid w:val="00E75982"/>
    <w:rsid w:val="00E76BF8"/>
    <w:rsid w:val="00E83B82"/>
    <w:rsid w:val="00E85331"/>
    <w:rsid w:val="00E856C2"/>
    <w:rsid w:val="00E86FA9"/>
    <w:rsid w:val="00E95D83"/>
    <w:rsid w:val="00EA0413"/>
    <w:rsid w:val="00EA3443"/>
    <w:rsid w:val="00EA6752"/>
    <w:rsid w:val="00EA73D0"/>
    <w:rsid w:val="00EA79B8"/>
    <w:rsid w:val="00EB69A0"/>
    <w:rsid w:val="00EC1D9B"/>
    <w:rsid w:val="00EC291F"/>
    <w:rsid w:val="00EC7EDA"/>
    <w:rsid w:val="00ED21A9"/>
    <w:rsid w:val="00EE2640"/>
    <w:rsid w:val="00EE35C3"/>
    <w:rsid w:val="00EE3F0B"/>
    <w:rsid w:val="00F01DDA"/>
    <w:rsid w:val="00F02579"/>
    <w:rsid w:val="00F106E0"/>
    <w:rsid w:val="00F125E6"/>
    <w:rsid w:val="00F174AA"/>
    <w:rsid w:val="00F20B20"/>
    <w:rsid w:val="00F32053"/>
    <w:rsid w:val="00F33510"/>
    <w:rsid w:val="00F35790"/>
    <w:rsid w:val="00F36DBB"/>
    <w:rsid w:val="00F40FA5"/>
    <w:rsid w:val="00F433D7"/>
    <w:rsid w:val="00F4476E"/>
    <w:rsid w:val="00F46B86"/>
    <w:rsid w:val="00F475B2"/>
    <w:rsid w:val="00F514B4"/>
    <w:rsid w:val="00F531A4"/>
    <w:rsid w:val="00F55DD5"/>
    <w:rsid w:val="00F71859"/>
    <w:rsid w:val="00F7233E"/>
    <w:rsid w:val="00F73EC8"/>
    <w:rsid w:val="00F73FA1"/>
    <w:rsid w:val="00F8067B"/>
    <w:rsid w:val="00F80A6E"/>
    <w:rsid w:val="00F831C3"/>
    <w:rsid w:val="00F878CC"/>
    <w:rsid w:val="00F9094D"/>
    <w:rsid w:val="00F92975"/>
    <w:rsid w:val="00F92FCC"/>
    <w:rsid w:val="00F96AE4"/>
    <w:rsid w:val="00FA0C6E"/>
    <w:rsid w:val="00FA39EE"/>
    <w:rsid w:val="00FA3BE8"/>
    <w:rsid w:val="00FA3CFE"/>
    <w:rsid w:val="00FA5329"/>
    <w:rsid w:val="00FB3952"/>
    <w:rsid w:val="00FB5179"/>
    <w:rsid w:val="00FC05B3"/>
    <w:rsid w:val="00FC0A27"/>
    <w:rsid w:val="00FC57ED"/>
    <w:rsid w:val="00FC683A"/>
    <w:rsid w:val="00FC6BDB"/>
    <w:rsid w:val="00FC74B1"/>
    <w:rsid w:val="00FC7D4D"/>
    <w:rsid w:val="00FC7F1B"/>
    <w:rsid w:val="00FC7F44"/>
    <w:rsid w:val="00FD0698"/>
    <w:rsid w:val="00FD18C2"/>
    <w:rsid w:val="00FE1009"/>
    <w:rsid w:val="00FE1EC8"/>
    <w:rsid w:val="00FE3047"/>
    <w:rsid w:val="00FE4B8B"/>
    <w:rsid w:val="00FE5989"/>
    <w:rsid w:val="00FE78DE"/>
    <w:rsid w:val="00FF1061"/>
    <w:rsid w:val="00FF4C36"/>
    <w:rsid w:val="00FF5A2D"/>
    <w:rsid w:val="020F6F28"/>
    <w:rsid w:val="02D61666"/>
    <w:rsid w:val="05343010"/>
    <w:rsid w:val="08822685"/>
    <w:rsid w:val="089D244D"/>
    <w:rsid w:val="08BD4AEE"/>
    <w:rsid w:val="09D26EA3"/>
    <w:rsid w:val="0DFA1F05"/>
    <w:rsid w:val="101D30C3"/>
    <w:rsid w:val="105B4F1C"/>
    <w:rsid w:val="124F64E1"/>
    <w:rsid w:val="134858FB"/>
    <w:rsid w:val="13BD3991"/>
    <w:rsid w:val="16ED592D"/>
    <w:rsid w:val="17092100"/>
    <w:rsid w:val="190E71C2"/>
    <w:rsid w:val="199B1E00"/>
    <w:rsid w:val="1A065E3F"/>
    <w:rsid w:val="1C0B401D"/>
    <w:rsid w:val="1CC215F3"/>
    <w:rsid w:val="1D3D053A"/>
    <w:rsid w:val="1D873FD4"/>
    <w:rsid w:val="1E1865CE"/>
    <w:rsid w:val="1EA6060A"/>
    <w:rsid w:val="20B02E68"/>
    <w:rsid w:val="21365D56"/>
    <w:rsid w:val="216D6ACE"/>
    <w:rsid w:val="247842D1"/>
    <w:rsid w:val="25BE0BD5"/>
    <w:rsid w:val="27B65E9D"/>
    <w:rsid w:val="28165EB7"/>
    <w:rsid w:val="2A457B4D"/>
    <w:rsid w:val="2A6C4F88"/>
    <w:rsid w:val="2D1A6F4E"/>
    <w:rsid w:val="2DEB0E76"/>
    <w:rsid w:val="373E3251"/>
    <w:rsid w:val="37BC6A02"/>
    <w:rsid w:val="37DF63A3"/>
    <w:rsid w:val="3A1E0CA8"/>
    <w:rsid w:val="3D083863"/>
    <w:rsid w:val="3D4108A3"/>
    <w:rsid w:val="3DEC5434"/>
    <w:rsid w:val="3F4D1334"/>
    <w:rsid w:val="4166143E"/>
    <w:rsid w:val="41FE665E"/>
    <w:rsid w:val="421F4C33"/>
    <w:rsid w:val="42611762"/>
    <w:rsid w:val="46412F66"/>
    <w:rsid w:val="48EA7AA7"/>
    <w:rsid w:val="4A650D36"/>
    <w:rsid w:val="4B451AE6"/>
    <w:rsid w:val="4B466F93"/>
    <w:rsid w:val="4BE86FAA"/>
    <w:rsid w:val="4C994997"/>
    <w:rsid w:val="4ECA69D9"/>
    <w:rsid w:val="4ECC69FC"/>
    <w:rsid w:val="4EDC40DD"/>
    <w:rsid w:val="4F080089"/>
    <w:rsid w:val="512355AA"/>
    <w:rsid w:val="55335BC7"/>
    <w:rsid w:val="57356ED7"/>
    <w:rsid w:val="5898062C"/>
    <w:rsid w:val="5A7F721A"/>
    <w:rsid w:val="5BFF5EA6"/>
    <w:rsid w:val="5DC479AD"/>
    <w:rsid w:val="625B3A8B"/>
    <w:rsid w:val="62993512"/>
    <w:rsid w:val="63600374"/>
    <w:rsid w:val="63657A22"/>
    <w:rsid w:val="65E432FD"/>
    <w:rsid w:val="662A7201"/>
    <w:rsid w:val="66352C73"/>
    <w:rsid w:val="666934FE"/>
    <w:rsid w:val="67FC2CB0"/>
    <w:rsid w:val="68E025CF"/>
    <w:rsid w:val="6CB40B3E"/>
    <w:rsid w:val="6E122189"/>
    <w:rsid w:val="70767FE1"/>
    <w:rsid w:val="71042A0F"/>
    <w:rsid w:val="71351397"/>
    <w:rsid w:val="71BE378A"/>
    <w:rsid w:val="7338088F"/>
    <w:rsid w:val="741B5D8C"/>
    <w:rsid w:val="76224628"/>
    <w:rsid w:val="77D74D3C"/>
    <w:rsid w:val="78572860"/>
    <w:rsid w:val="7876732B"/>
    <w:rsid w:val="78E20D58"/>
    <w:rsid w:val="7AAB0534"/>
    <w:rsid w:val="7D350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宋体"/>
    </w:rPr>
  </w:style>
  <w:style w:type="paragraph" w:styleId="3">
    <w:name w:val="Balloon Text"/>
    <w:basedOn w:val="1"/>
    <w:link w:val="17"/>
    <w:semiHidden/>
    <w:unhideWhenUsed/>
    <w:qFormat/>
    <w:uiPriority w:val="99"/>
    <w:rPr>
      <w:sz w:val="18"/>
      <w:szCs w:val="18"/>
    </w:rPr>
  </w:style>
  <w:style w:type="paragraph" w:styleId="4">
    <w:name w:val="footer"/>
    <w:basedOn w:val="1"/>
    <w:link w:val="15"/>
    <w:unhideWhenUsed/>
    <w:qFormat/>
    <w:uiPriority w:val="0"/>
    <w:pPr>
      <w:tabs>
        <w:tab w:val="center" w:pos="4153"/>
        <w:tab w:val="right" w:pos="8306"/>
      </w:tabs>
      <w:snapToGrid w:val="0"/>
      <w:jc w:val="left"/>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semiHidden/>
    <w:unhideWhenUsed/>
    <w:qFormat/>
    <w:uiPriority w:val="99"/>
    <w:pPr>
      <w:snapToGrid w:val="0"/>
      <w:jc w:val="left"/>
    </w:pPr>
    <w:rPr>
      <w:sz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page number"/>
    <w:basedOn w:val="9"/>
    <w:qFormat/>
    <w:uiPriority w:val="0"/>
  </w:style>
  <w:style w:type="character" w:styleId="12">
    <w:name w:val="Emphasis"/>
    <w:basedOn w:val="9"/>
    <w:qFormat/>
    <w:uiPriority w:val="20"/>
    <w:rPr>
      <w:i/>
      <w:iCs/>
    </w:rPr>
  </w:style>
  <w:style w:type="character" w:styleId="13">
    <w:name w:val="footnote reference"/>
    <w:basedOn w:val="9"/>
    <w:semiHidden/>
    <w:unhideWhenUsed/>
    <w:qFormat/>
    <w:uiPriority w:val="99"/>
    <w:rPr>
      <w:vertAlign w:val="superscript"/>
    </w:rPr>
  </w:style>
  <w:style w:type="paragraph" w:styleId="14">
    <w:name w:val="List Paragraph"/>
    <w:basedOn w:val="1"/>
    <w:qFormat/>
    <w:uiPriority w:val="34"/>
    <w:pPr>
      <w:ind w:firstLine="420" w:firstLineChars="200"/>
    </w:pPr>
  </w:style>
  <w:style w:type="character" w:customStyle="1" w:styleId="15">
    <w:name w:val="页脚 Char"/>
    <w:basedOn w:val="9"/>
    <w:link w:val="4"/>
    <w:qFormat/>
    <w:uiPriority w:val="0"/>
    <w:rPr>
      <w:sz w:val="18"/>
      <w:szCs w:val="18"/>
    </w:rPr>
  </w:style>
  <w:style w:type="table" w:customStyle="1" w:styleId="16">
    <w:name w:val="网格型1"/>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批注框文本 Char"/>
    <w:basedOn w:val="9"/>
    <w:link w:val="3"/>
    <w:semiHidden/>
    <w:qFormat/>
    <w:uiPriority w:val="99"/>
    <w:rPr>
      <w:sz w:val="18"/>
      <w:szCs w:val="18"/>
    </w:rPr>
  </w:style>
  <w:style w:type="character" w:customStyle="1" w:styleId="18">
    <w:name w:val="font01"/>
    <w:basedOn w:val="9"/>
    <w:qFormat/>
    <w:uiPriority w:val="0"/>
    <w:rPr>
      <w:rFonts w:hint="eastAsia" w:ascii="方正仿宋_GBK" w:hAnsi="方正仿宋_GBK" w:eastAsia="方正仿宋_GBK" w:cs="方正仿宋_GBK"/>
      <w:color w:val="000000"/>
      <w:sz w:val="24"/>
      <w:szCs w:val="24"/>
      <w:u w:val="none"/>
    </w:rPr>
  </w:style>
  <w:style w:type="character" w:customStyle="1" w:styleId="19">
    <w:name w:val="font21"/>
    <w:basedOn w:val="9"/>
    <w:qFormat/>
    <w:uiPriority w:val="0"/>
    <w:rPr>
      <w:rFonts w:hint="eastAsia" w:ascii="方正仿宋_GBK" w:hAnsi="方正仿宋_GBK" w:eastAsia="方正仿宋_GBK" w:cs="方正仿宋_GBK"/>
      <w:color w:val="000000"/>
      <w:sz w:val="28"/>
      <w:szCs w:val="28"/>
      <w:u w:val="none"/>
    </w:rPr>
  </w:style>
  <w:style w:type="character" w:customStyle="1" w:styleId="20">
    <w:name w:val="页眉 Char"/>
    <w:basedOn w:val="9"/>
    <w:link w:val="5"/>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55165-E86E-43BB-8AEC-9578150A19E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2087</Words>
  <Characters>11899</Characters>
  <Lines>99</Lines>
  <Paragraphs>27</Paragraphs>
  <TotalTime>154</TotalTime>
  <ScaleCrop>false</ScaleCrop>
  <LinksUpToDate>false</LinksUpToDate>
  <CharactersWithSpaces>13959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2020-10-22T01:12:00Z</dcterms:created>
  <dc:creator>微软用户</dc:creator>
  <cp:lastModifiedBy>殷小军</cp:lastModifiedBy>
  <cp:lastPrinted>2021-01-16T16:42:00Z</cp:lastPrinted>
  <dcterms:modified xsi:type="dcterms:W3CDTF">2021-01-18T04:19:07Z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